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pStyle w:val="Heading1"/>
        <w:spacing w:before="94" w:line="360" w:lineRule="auto"/>
        <w:ind w:left="727" w:right="459" w:firstLine="0"/>
        <w:jc w:val="center"/>
        <w:rPr>
          <w:sz w:val="22"/>
          <w:szCs w:val="22"/>
        </w:rPr>
      </w:pPr>
      <w:r w:rsidDel="00000000" w:rsidR="00000000" w:rsidRPr="00000000">
        <w:rPr>
          <w:rtl w:val="0"/>
        </w:rPr>
      </w:r>
    </w:p>
    <w:p w:rsidR="00000000" w:rsidDel="00000000" w:rsidP="00000000" w:rsidRDefault="00000000" w:rsidRPr="00000000" w14:paraId="00000004">
      <w:pPr>
        <w:widowControl w:val="1"/>
        <w:spacing w:after="120" w:line="360" w:lineRule="auto"/>
        <w:jc w:val="both"/>
        <w:rPr>
          <w:rFonts w:ascii="Arial" w:cs="Arial" w:eastAsia="Arial" w:hAnsi="Arial"/>
          <w:b w:val="1"/>
          <w:i w:val="0"/>
          <w:smallCaps w:val="0"/>
          <w:strike w:val="0"/>
          <w:color w:val="000000"/>
          <w:u w:val="none"/>
          <w:shd w:fill="auto" w:val="clear"/>
          <w:vertAlign w:val="baseline"/>
        </w:rPr>
      </w:pPr>
      <w:r w:rsidDel="00000000" w:rsidR="00000000" w:rsidRPr="00000000">
        <w:rPr>
          <w:b w:val="1"/>
          <w:i w:val="1"/>
          <w:color w:val="0b5394"/>
          <w:rtl w:val="0"/>
        </w:rPr>
        <w:t xml:space="preserve">PROCEDURA APERTA, AI SENSI DELL’ART. 71 DEL D.LGS 36/2023, IN FORMA CENTRALIZZATA, SUDDIVISA IN</w:t>
      </w:r>
      <w:r w:rsidDel="00000000" w:rsidR="00000000" w:rsidRPr="00000000">
        <w:rPr>
          <w:b w:val="1"/>
          <w:i w:val="1"/>
          <w:color w:val="0b5394"/>
          <w:highlight w:val="white"/>
          <w:rtl w:val="0"/>
        </w:rPr>
        <w:t xml:space="preserve"> 64 LO</w:t>
      </w:r>
      <w:r w:rsidDel="00000000" w:rsidR="00000000" w:rsidRPr="00000000">
        <w:rPr>
          <w:b w:val="1"/>
          <w:i w:val="1"/>
          <w:color w:val="0b5394"/>
          <w:rtl w:val="0"/>
        </w:rPr>
        <w:t xml:space="preserve">TTI,  FINALIZZATA ALLA STIPULA DI CONVENZIONI E ACCORDI QUADRO PER LA FORNITURA DI DISPOSITIVI PER ELETTROFISIOLOGIA ED ELETTROCHIRURGIA OCCORRENTI ALLE AZIENDE SANITARIE ED DELLA REGIONE UMBRIA. </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8">
      <w:pPr>
        <w:spacing w:before="0" w:line="360" w:lineRule="auto"/>
        <w:ind w:left="1984.251968503937" w:right="2076.259842519685" w:firstLine="175.7480314960631"/>
        <w:jc w:val="center"/>
        <w:rPr>
          <w:rFonts w:ascii="Arial" w:cs="Arial" w:eastAsia="Arial" w:hAnsi="Arial"/>
          <w:b w:val="1"/>
        </w:rPr>
      </w:pPr>
      <w:r w:rsidDel="00000000" w:rsidR="00000000" w:rsidRPr="00000000">
        <w:rPr>
          <w:rFonts w:ascii="Arial" w:cs="Arial" w:eastAsia="Arial" w:hAnsi="Arial"/>
          <w:b w:val="1"/>
          <w:rtl w:val="0"/>
        </w:rPr>
        <w:t xml:space="preserve">Quadro esigenziale e </w:t>
      </w:r>
    </w:p>
    <w:p w:rsidR="00000000" w:rsidDel="00000000" w:rsidP="00000000" w:rsidRDefault="00000000" w:rsidRPr="00000000" w14:paraId="00000009">
      <w:pPr>
        <w:spacing w:before="0" w:line="360" w:lineRule="auto"/>
        <w:ind w:left="1984.251968503937" w:right="2076.259842519685" w:firstLine="175.7480314960631"/>
        <w:jc w:val="center"/>
        <w:rPr>
          <w:rFonts w:ascii="Arial" w:cs="Arial" w:eastAsia="Arial" w:hAnsi="Arial"/>
          <w:b w:val="1"/>
        </w:rPr>
      </w:pPr>
      <w:r w:rsidDel="00000000" w:rsidR="00000000" w:rsidRPr="00000000">
        <w:rPr>
          <w:rFonts w:ascii="Arial" w:cs="Arial" w:eastAsia="Arial" w:hAnsi="Arial"/>
          <w:b w:val="1"/>
          <w:rtl w:val="0"/>
        </w:rPr>
        <w:t xml:space="preserve">progetto di fattibilità tecnico-economica</w:t>
      </w:r>
    </w:p>
    <w:p w:rsidR="00000000" w:rsidDel="00000000" w:rsidP="00000000" w:rsidRDefault="00000000" w:rsidRPr="00000000" w14:paraId="0000000A">
      <w:pPr>
        <w:spacing w:before="0" w:lineRule="auto"/>
        <w:ind w:left="724" w:right="459" w:firstLine="0"/>
        <w:jc w:val="cente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Art.14 e Art. 41 commi 12, 13 e 14 del D.Lgs. n. 36/2023</w:t>
      </w:r>
      <w:r w:rsidDel="00000000" w:rsidR="00000000" w:rsidRPr="00000000">
        <w:rPr>
          <w:rFonts w:ascii="Arial" w:cs="Arial" w:eastAsia="Arial" w:hAnsi="Arial"/>
          <w:rtl w:val="0"/>
        </w:rPr>
        <w:t xml:space="preserv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4">
          <w:pPr>
            <w:tabs>
              <w:tab w:val="right" w:leader="none" w:pos="10145.511811023624"/>
            </w:tabs>
            <w:spacing w:before="60" w:lineRule="auto"/>
            <w:ind w:left="283.46456692913387" w:firstLine="0"/>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
            <w:r w:rsidDel="00000000" w:rsidR="00000000" w:rsidRPr="00000000">
              <w:rPr>
                <w:b w:val="1"/>
                <w:color w:val="000000"/>
                <w:u w:val="none"/>
                <w:rtl w:val="0"/>
              </w:rPr>
              <w:t xml:space="preserve">INDICE</w:t>
              <w:tab/>
            </w:r>
          </w:hyperlink>
          <w:r w:rsidDel="00000000" w:rsidR="00000000" w:rsidRPr="00000000">
            <w:fldChar w:fldCharType="begin"/>
            <w:instrText xml:space="preserve"> PAGEREF _heading= \h </w:instrText>
            <w:fldChar w:fldCharType="separate"/>
          </w:r>
          <w:r w:rsidDel="00000000" w:rsidR="00000000" w:rsidRPr="00000000">
            <w:rPr>
              <w:b w:val="1"/>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leader="none" w:pos="10145.511811023624"/>
            </w:tabs>
            <w:spacing w:before="60" w:lineRule="auto"/>
            <w:ind w:left="283.46456692913387" w:firstLine="0"/>
            <w:rPr>
              <w:b w:val="1"/>
              <w:color w:val="000000"/>
              <w:u w:val="none"/>
            </w:rPr>
          </w:pPr>
          <w:hyperlink w:anchor="_heading=h.gjdgxs">
            <w:r w:rsidDel="00000000" w:rsidR="00000000" w:rsidRPr="00000000">
              <w:rPr>
                <w:b w:val="1"/>
                <w:color w:val="000000"/>
                <w:u w:val="none"/>
                <w:rtl w:val="0"/>
              </w:rPr>
              <w:t xml:space="preserve">1. PREMESSA</w:t>
              <w:tab/>
            </w:r>
          </w:hyperlink>
          <w:r w:rsidDel="00000000" w:rsidR="00000000" w:rsidRPr="00000000">
            <w:fldChar w:fldCharType="begin"/>
            <w:instrText xml:space="preserve"> PAGEREF _heading=h.gjdgxs \h </w:instrText>
            <w:fldChar w:fldCharType="separate"/>
          </w:r>
          <w:r w:rsidDel="00000000" w:rsidR="00000000" w:rsidRPr="00000000">
            <w:rPr>
              <w:b w:val="1"/>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leader="none" w:pos="10145.511811023624"/>
            </w:tabs>
            <w:spacing w:before="60" w:lineRule="auto"/>
            <w:ind w:left="283.46456692913387" w:firstLine="0"/>
            <w:rPr>
              <w:b w:val="1"/>
              <w:color w:val="000000"/>
              <w:u w:val="none"/>
            </w:rPr>
          </w:pPr>
          <w:hyperlink w:anchor="_heading=h.30j0zll">
            <w:r w:rsidDel="00000000" w:rsidR="00000000" w:rsidRPr="00000000">
              <w:rPr>
                <w:b w:val="1"/>
                <w:color w:val="000000"/>
                <w:u w:val="none"/>
                <w:rtl w:val="0"/>
              </w:rPr>
              <w:t xml:space="preserve">2. DESCRIZIONE DELLE ATTIVITA’ OGGETTO DELL’APPALTO</w:t>
              <w:tab/>
            </w:r>
          </w:hyperlink>
          <w:r w:rsidDel="00000000" w:rsidR="00000000" w:rsidRPr="00000000">
            <w:fldChar w:fldCharType="begin"/>
            <w:instrText xml:space="preserve"> PAGEREF _heading=h.30j0zll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leader="none" w:pos="10145.511811023624"/>
            </w:tabs>
            <w:spacing w:before="60" w:lineRule="auto"/>
            <w:ind w:firstLine="283.46456692913387"/>
            <w:rPr>
              <w:b w:val="1"/>
              <w:color w:val="000000"/>
              <w:u w:val="none"/>
            </w:rPr>
          </w:pPr>
          <w:hyperlink w:anchor="_heading=h.uswnqnsvyrov">
            <w:r w:rsidDel="00000000" w:rsidR="00000000" w:rsidRPr="00000000">
              <w:rPr>
                <w:b w:val="1"/>
                <w:color w:val="000000"/>
                <w:u w:val="none"/>
                <w:rtl w:val="0"/>
              </w:rPr>
              <w:t xml:space="preserve">3. SUDDIVISIONE IN LOTTI</w:t>
              <w:tab/>
            </w:r>
          </w:hyperlink>
          <w:r w:rsidDel="00000000" w:rsidR="00000000" w:rsidRPr="00000000">
            <w:fldChar w:fldCharType="begin"/>
            <w:instrText xml:space="preserve"> PAGEREF _heading=h.uswnqnsvyrov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leader="none" w:pos="10145.511811023624"/>
            </w:tabs>
            <w:spacing w:before="60" w:lineRule="auto"/>
            <w:ind w:left="283.46456692913387" w:firstLine="0"/>
            <w:rPr>
              <w:b w:val="1"/>
              <w:color w:val="000000"/>
              <w:u w:val="none"/>
            </w:rPr>
          </w:pPr>
          <w:hyperlink w:anchor="_heading=h.3znysh7">
            <w:r w:rsidDel="00000000" w:rsidR="00000000" w:rsidRPr="00000000">
              <w:rPr>
                <w:b w:val="1"/>
                <w:color w:val="000000"/>
                <w:u w:val="none"/>
                <w:rtl w:val="0"/>
              </w:rPr>
              <w:t xml:space="preserve">4. INDIVIDUAZIONE DEI FABBISOGNI</w:t>
              <w:tab/>
            </w:r>
          </w:hyperlink>
          <w:r w:rsidDel="00000000" w:rsidR="00000000" w:rsidRPr="00000000">
            <w:fldChar w:fldCharType="begin"/>
            <w:instrText xml:space="preserve"> PAGEREF _heading=h.3znysh7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leader="none" w:pos="10145.511811023624"/>
            </w:tabs>
            <w:spacing w:before="60" w:lineRule="auto"/>
            <w:ind w:firstLine="283.46456692913387"/>
            <w:rPr>
              <w:b w:val="1"/>
              <w:color w:val="000000"/>
              <w:u w:val="none"/>
            </w:rPr>
          </w:pPr>
          <w:hyperlink w:anchor="_heading=h.2et92p0">
            <w:r w:rsidDel="00000000" w:rsidR="00000000" w:rsidRPr="00000000">
              <w:rPr>
                <w:b w:val="1"/>
                <w:color w:val="000000"/>
                <w:u w:val="none"/>
                <w:rtl w:val="0"/>
              </w:rPr>
              <w:t xml:space="preserve">5. IMPORTO A BASE D’ASTA E VALORE COMPLESSIVO APPALTO</w:t>
              <w:tab/>
            </w:r>
          </w:hyperlink>
          <w:r w:rsidDel="00000000" w:rsidR="00000000" w:rsidRPr="00000000">
            <w:fldChar w:fldCharType="begin"/>
            <w:instrText xml:space="preserve"> PAGEREF _heading=h.2et92p0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Title"/>
        <w:numPr>
          <w:ilvl w:val="0"/>
          <w:numId w:val="1"/>
        </w:numPr>
        <w:tabs>
          <w:tab w:val="left" w:leader="none" w:pos="813"/>
          <w:tab w:val="left" w:leader="none" w:pos="814"/>
        </w:tabs>
        <w:ind w:left="720" w:hanging="360"/>
        <w:rPr>
          <w:sz w:val="22"/>
          <w:szCs w:val="22"/>
        </w:rPr>
      </w:pPr>
      <w:bookmarkStart w:colFirst="0" w:colLast="0" w:name="_heading=h.gjdgxs" w:id="0"/>
      <w:bookmarkEnd w:id="0"/>
      <w:r w:rsidDel="00000000" w:rsidR="00000000" w:rsidRPr="00000000">
        <w:rPr>
          <w:sz w:val="22"/>
          <w:szCs w:val="22"/>
          <w:rtl w:val="0"/>
        </w:rPr>
        <w:t xml:space="preserve">PREMESSA</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360" w:lineRule="auto"/>
        <w:ind w:left="393" w:right="131"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Il presente documento illustra, in conformità alle previsioni di cui art. 41, commi 12, del D.Lgs. n. 36/2023 l’oggetto dell’appalto, il contesto in cui è inserito ed il calcolo effettuato dalla Stazione Appaltante ai fini della determinazione degli importi a base d</w:t>
      </w:r>
      <w:r w:rsidDel="00000000" w:rsidR="00000000" w:rsidRPr="00000000">
        <w:rPr>
          <w:rtl w:val="0"/>
        </w:rPr>
        <w:t xml:space="preserve">’asta </w:t>
      </w:r>
      <w:r w:rsidDel="00000000" w:rsidR="00000000" w:rsidRPr="00000000">
        <w:rPr>
          <w:rFonts w:ascii="Arial" w:cs="Arial" w:eastAsia="Arial" w:hAnsi="Arial"/>
          <w:i w:val="0"/>
          <w:smallCaps w:val="0"/>
          <w:strike w:val="0"/>
          <w:color w:val="000000"/>
          <w:u w:val="none"/>
          <w:shd w:fill="auto" w:val="clear"/>
          <w:vertAlign w:val="baseline"/>
          <w:rtl w:val="0"/>
        </w:rPr>
        <w:t xml:space="preserve">per l’affidamento</w:t>
      </w:r>
      <w:r w:rsidDel="00000000" w:rsidR="00000000" w:rsidRPr="00000000">
        <w:rPr>
          <w:rFonts w:ascii="Arial" w:cs="Arial" w:eastAsia="Arial" w:hAnsi="Arial"/>
          <w:rtl w:val="0"/>
        </w:rPr>
        <w:t xml:space="preserve"> della fornitura di </w:t>
      </w:r>
      <w:r w:rsidDel="00000000" w:rsidR="00000000" w:rsidRPr="00000000">
        <w:rPr>
          <w:rtl w:val="0"/>
        </w:rPr>
        <w:t xml:space="preserve">dispositivi di Elettrofisiologia</w:t>
      </w:r>
      <w:r w:rsidDel="00000000" w:rsidR="00000000" w:rsidRPr="00000000">
        <w:rPr>
          <w:rFonts w:ascii="Arial" w:cs="Arial" w:eastAsia="Arial" w:hAnsi="Arial"/>
          <w:rtl w:val="0"/>
        </w:rPr>
        <w:t xml:space="preserve"> occorrenti alla Aziende Sanitarie della Regione Umbria</w:t>
      </w:r>
      <w:r w:rsidDel="00000000" w:rsidR="00000000" w:rsidRPr="00000000">
        <w:rPr>
          <w:rFonts w:ascii="Arial" w:cs="Arial" w:eastAsia="Arial" w:hAnsi="Arial"/>
          <w:i w:val="0"/>
          <w:smallCaps w:val="0"/>
          <w:strike w:val="0"/>
          <w:color w:val="000000"/>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360" w:lineRule="auto"/>
        <w:ind w:left="393" w:right="131" w:firstLine="0"/>
        <w:jc w:val="both"/>
        <w:rPr>
          <w:strike w:val="1"/>
        </w:rPr>
      </w:pPr>
      <w:r w:rsidDel="00000000" w:rsidR="00000000" w:rsidRPr="00000000">
        <w:rPr>
          <w:rtl w:val="0"/>
        </w:rPr>
        <w:t xml:space="preserve">Essa si inserisce nel Piano delle gare centralizzate in programmazione per l’annualità 2024/2025.</w:t>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360" w:lineRule="auto"/>
        <w:ind w:left="393" w:right="131" w:firstLine="0"/>
        <w:jc w:val="both"/>
        <w:rPr>
          <w:rFonts w:ascii="Arial" w:cs="Arial" w:eastAsia="Arial" w:hAnsi="Arial"/>
        </w:rPr>
      </w:pPr>
      <w:r w:rsidDel="00000000" w:rsidR="00000000" w:rsidRPr="00000000">
        <w:rPr>
          <w:rFonts w:ascii="Arial" w:cs="Arial" w:eastAsia="Arial" w:hAnsi="Arial"/>
          <w:rtl w:val="0"/>
        </w:rPr>
        <w:t xml:space="preserve">Per la stesura della documentazione di gara è stata utilizzata come base di riferimento la seguente normativa:</w:t>
      </w:r>
    </w:p>
    <w:p w:rsidR="00000000" w:rsidDel="00000000" w:rsidP="00000000" w:rsidRDefault="00000000" w:rsidRPr="00000000" w14:paraId="0000004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15" w:line="360" w:lineRule="auto"/>
        <w:ind w:left="720" w:right="131" w:hanging="360"/>
        <w:jc w:val="both"/>
        <w:rPr>
          <w:rFonts w:ascii="Arial" w:cs="Arial" w:eastAsia="Arial" w:hAnsi="Arial"/>
        </w:rPr>
      </w:pPr>
      <w:r w:rsidDel="00000000" w:rsidR="00000000" w:rsidRPr="00000000">
        <w:rPr>
          <w:rFonts w:ascii="Arial" w:cs="Arial" w:eastAsia="Arial" w:hAnsi="Arial"/>
          <w:rtl w:val="0"/>
        </w:rPr>
        <w:t xml:space="preserve">Regolamento Dispositivi Medici (UE) 2017/745 (MDR); </w:t>
      </w:r>
    </w:p>
    <w:p w:rsidR="00000000" w:rsidDel="00000000" w:rsidP="00000000" w:rsidRDefault="00000000" w:rsidRPr="00000000" w14:paraId="00000043">
      <w:pPr>
        <w:numPr>
          <w:ilvl w:val="0"/>
          <w:numId w:val="3"/>
        </w:numPr>
        <w:spacing w:before="115" w:line="360" w:lineRule="auto"/>
        <w:ind w:left="720" w:right="131" w:hanging="360"/>
        <w:jc w:val="both"/>
        <w:rPr/>
      </w:pPr>
      <w:r w:rsidDel="00000000" w:rsidR="00000000" w:rsidRPr="00000000">
        <w:rPr>
          <w:rtl w:val="0"/>
        </w:rPr>
        <w:t xml:space="preserve">Regolamento (UE) 2023/607 del 15 marzo 2023, che modifica i regolamenti (UE) 2017/745 e (UE) 2017/746 per quanto riguarda le disposizioni transitorie per determinati dispositivi medici e dispositivi medico-diagnostici in vitro. Nelle more della transizione dalle disposizioni attualmente in vigore alla piena operatività del MDR, si intendono applicabili i requisiti stabiliti dalle disposizioni normative vigenti. In particolare, la Direttiva 93/42/CEE sui “Dispositivi Medici”, attuata con D.Lgs 24 febbraio 1997, n. 46 e successive modifiche ed integrazioni con particolare riferimento al D.Lgs 25 gennaio 2020 n. 37, recepimento della Direttiva 2007/47/CE. </w:t>
      </w:r>
    </w:p>
    <w:p w:rsidR="00000000" w:rsidDel="00000000" w:rsidP="00000000" w:rsidRDefault="00000000" w:rsidRPr="00000000" w14:paraId="0000004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131" w:hanging="360"/>
        <w:jc w:val="both"/>
        <w:rPr>
          <w:rFonts w:ascii="Arial" w:cs="Arial" w:eastAsia="Arial" w:hAnsi="Arial"/>
        </w:rPr>
      </w:pPr>
      <w:r w:rsidDel="00000000" w:rsidR="00000000" w:rsidRPr="00000000">
        <w:rPr>
          <w:rFonts w:ascii="Arial" w:cs="Arial" w:eastAsia="Arial" w:hAnsi="Arial"/>
          <w:rtl w:val="0"/>
        </w:rPr>
        <w:t xml:space="preserve">Decreto del Ministero della Salute 11 maggio 2023 “Disposizioni relative alla registrazione e alla conservazione dell'identificativo unico del dispositivo (UDI) da parte delle istituzioni sanitarie e degli operatori sanitari”;</w:t>
      </w:r>
    </w:p>
    <w:p w:rsidR="00000000" w:rsidDel="00000000" w:rsidP="00000000" w:rsidRDefault="00000000" w:rsidRPr="00000000" w14:paraId="0000004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131" w:hanging="360"/>
        <w:jc w:val="both"/>
        <w:rPr>
          <w:rFonts w:ascii="Arial" w:cs="Arial" w:eastAsia="Arial" w:hAnsi="Arial"/>
        </w:rPr>
      </w:pPr>
      <w:r w:rsidDel="00000000" w:rsidR="00000000" w:rsidRPr="00000000">
        <w:rPr>
          <w:rFonts w:ascii="Arial" w:cs="Arial" w:eastAsia="Arial" w:hAnsi="Arial"/>
          <w:rtl w:val="0"/>
        </w:rPr>
        <w:t xml:space="preserve">Direttiva 2010/32/UE del Consiglio del 10 maggio 2010</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47">
      <w:pPr>
        <w:pStyle w:val="Heading1"/>
        <w:numPr>
          <w:ilvl w:val="0"/>
          <w:numId w:val="1"/>
        </w:numPr>
        <w:tabs>
          <w:tab w:val="left" w:leader="none" w:pos="813"/>
          <w:tab w:val="left" w:leader="none" w:pos="814"/>
        </w:tabs>
        <w:spacing w:after="0" w:before="0" w:line="240" w:lineRule="auto"/>
        <w:ind w:left="720" w:right="0" w:hanging="360"/>
        <w:jc w:val="left"/>
        <w:rPr>
          <w:sz w:val="22"/>
          <w:szCs w:val="22"/>
        </w:rPr>
      </w:pPr>
      <w:bookmarkStart w:colFirst="0" w:colLast="0" w:name="_heading=h.30j0zll" w:id="1"/>
      <w:bookmarkEnd w:id="1"/>
      <w:r w:rsidDel="00000000" w:rsidR="00000000" w:rsidRPr="00000000">
        <w:rPr>
          <w:sz w:val="22"/>
          <w:szCs w:val="22"/>
          <w:rtl w:val="0"/>
        </w:rPr>
        <w:t xml:space="preserve">DESCRIZIONE DELLE ATTIVITA’ OGGETTO DELL’APPALTO</w:t>
      </w:r>
    </w:p>
    <w:p w:rsidR="00000000" w:rsidDel="00000000" w:rsidP="00000000" w:rsidRDefault="00000000" w:rsidRPr="00000000" w14:paraId="00000048">
      <w:pPr>
        <w:pStyle w:val="Heading2"/>
        <w:spacing w:before="115" w:line="360" w:lineRule="auto"/>
        <w:ind w:right="131"/>
        <w:jc w:val="both"/>
        <w:rPr>
          <w:sz w:val="20"/>
          <w:szCs w:val="20"/>
        </w:rPr>
      </w:pPr>
      <w:bookmarkStart w:colFirst="0" w:colLast="0" w:name="_heading=h.iol3fmo4ffao" w:id="2"/>
      <w:bookmarkEnd w:id="2"/>
      <w:r w:rsidDel="00000000" w:rsidR="00000000" w:rsidRPr="00000000">
        <w:rPr>
          <w:rtl w:val="0"/>
        </w:rPr>
        <w:t xml:space="preserve">   </w:t>
      </w:r>
      <w:r w:rsidDel="00000000" w:rsidR="00000000" w:rsidRPr="00000000">
        <w:rPr>
          <w:sz w:val="20"/>
          <w:szCs w:val="20"/>
          <w:rtl w:val="0"/>
        </w:rPr>
        <w:t xml:space="preserve">2.1. Gruppo tecnico di progettazione </w:t>
      </w:r>
    </w:p>
    <w:p w:rsidR="00000000" w:rsidDel="00000000" w:rsidP="00000000" w:rsidRDefault="00000000" w:rsidRPr="00000000" w14:paraId="00000049">
      <w:pPr>
        <w:spacing w:before="115" w:line="360" w:lineRule="auto"/>
        <w:ind w:left="393" w:right="131" w:firstLine="0"/>
        <w:jc w:val="both"/>
        <w:rPr/>
      </w:pPr>
      <w:r w:rsidDel="00000000" w:rsidR="00000000" w:rsidRPr="00000000">
        <w:rPr>
          <w:rFonts w:ascii="Arial" w:cs="Arial" w:eastAsia="Arial" w:hAnsi="Arial"/>
          <w:rtl w:val="0"/>
        </w:rPr>
        <w:t xml:space="preserve">Al fine di individuare le tipologie di dispositivi </w:t>
      </w:r>
      <w:r w:rsidDel="00000000" w:rsidR="00000000" w:rsidRPr="00000000">
        <w:rPr>
          <w:rtl w:val="0"/>
        </w:rPr>
        <w:t xml:space="preserve">medici per elettrofisiologia ed elettrochirurgia</w:t>
      </w:r>
      <w:r w:rsidDel="00000000" w:rsidR="00000000" w:rsidRPr="00000000">
        <w:rPr>
          <w:rFonts w:ascii="Arial" w:cs="Arial" w:eastAsia="Arial" w:hAnsi="Arial"/>
          <w:rtl w:val="0"/>
        </w:rPr>
        <w:t xml:space="preserve"> e servizi connessi idonei a rispondere alle esigenze di fornitura delle Aziende Sanitarie della Regione Umbria, il Gruppo Tecnico di Progettazione individuato per la stesura del Capitolato tecnico di gara con Determinazio</w:t>
      </w:r>
      <w:r w:rsidDel="00000000" w:rsidR="00000000" w:rsidRPr="00000000">
        <w:rPr>
          <w:rFonts w:ascii="Arial" w:cs="Arial" w:eastAsia="Arial" w:hAnsi="Arial"/>
          <w:highlight w:val="white"/>
          <w:rtl w:val="0"/>
        </w:rPr>
        <w:t xml:space="preserve">ne del</w:t>
      </w:r>
      <w:r w:rsidDel="00000000" w:rsidR="00000000" w:rsidRPr="00000000">
        <w:rPr>
          <w:rFonts w:ascii="Arial" w:cs="Arial" w:eastAsia="Arial" w:hAnsi="Arial"/>
          <w:rtl w:val="0"/>
        </w:rPr>
        <w:t xml:space="preserve"> 08/03/2023, formato da esperti del settore sanitario provenienti dalle Aziende Ospedaliere di Perugia e Terni, e dalle Aziende USL n.1 e n. 2 dell’Umbria, è partito dall’analisi dei prodotti aggiudicati in precedenti iniziative realizza</w:t>
      </w:r>
      <w:r w:rsidDel="00000000" w:rsidR="00000000" w:rsidRPr="00000000">
        <w:rPr>
          <w:rtl w:val="0"/>
        </w:rPr>
        <w:t xml:space="preserve">t</w:t>
      </w:r>
      <w:r w:rsidDel="00000000" w:rsidR="00000000" w:rsidRPr="00000000">
        <w:rPr>
          <w:rFonts w:ascii="Arial" w:cs="Arial" w:eastAsia="Arial" w:hAnsi="Arial"/>
          <w:rtl w:val="0"/>
        </w:rPr>
        <w:t xml:space="preserve">e a livello regionale e altre gare centralizzate bandite altre Stazioni Appaltanti a livello nazionale.  </w:t>
      </w:r>
      <w:r w:rsidDel="00000000" w:rsidR="00000000" w:rsidRPr="00000000">
        <w:rPr>
          <w:rtl w:val="0"/>
        </w:rPr>
      </w:r>
    </w:p>
    <w:p w:rsidR="00000000" w:rsidDel="00000000" w:rsidP="00000000" w:rsidRDefault="00000000" w:rsidRPr="00000000" w14:paraId="0000004A">
      <w:pPr>
        <w:spacing w:before="115" w:line="360" w:lineRule="auto"/>
        <w:ind w:left="393" w:right="131" w:firstLine="0"/>
        <w:jc w:val="both"/>
        <w:rPr>
          <w:sz w:val="20"/>
          <w:szCs w:val="20"/>
        </w:rPr>
      </w:pPr>
      <w:r w:rsidDel="00000000" w:rsidR="00000000" w:rsidRPr="00000000">
        <w:rPr>
          <w:b w:val="1"/>
          <w:sz w:val="20"/>
          <w:szCs w:val="20"/>
          <w:rtl w:val="0"/>
        </w:rPr>
        <w:t xml:space="preserve">2</w:t>
      </w:r>
      <w:r w:rsidDel="00000000" w:rsidR="00000000" w:rsidRPr="00000000">
        <w:rPr>
          <w:sz w:val="20"/>
          <w:szCs w:val="20"/>
          <w:rtl w:val="0"/>
        </w:rPr>
        <w:t xml:space="preserve">.</w:t>
      </w:r>
      <w:r w:rsidDel="00000000" w:rsidR="00000000" w:rsidRPr="00000000">
        <w:rPr>
          <w:b w:val="1"/>
          <w:sz w:val="20"/>
          <w:szCs w:val="20"/>
          <w:rtl w:val="0"/>
        </w:rPr>
        <w:t xml:space="preserve">2. Principali elementi della procedura di gara</w:t>
      </w:r>
      <w:r w:rsidDel="00000000" w:rsidR="00000000" w:rsidRPr="00000000">
        <w:rPr>
          <w:sz w:val="20"/>
          <w:szCs w:val="20"/>
          <w:rtl w:val="0"/>
        </w:rPr>
        <w:t xml:space="preserve"> </w:t>
      </w:r>
    </w:p>
    <w:p w:rsidR="00000000" w:rsidDel="00000000" w:rsidP="00000000" w:rsidRDefault="00000000" w:rsidRPr="00000000" w14:paraId="0000004B">
      <w:pPr>
        <w:tabs>
          <w:tab w:val="left" w:leader="none" w:pos="813"/>
          <w:tab w:val="left" w:leader="none" w:pos="814"/>
        </w:tabs>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04C">
      <w:pPr>
        <w:tabs>
          <w:tab w:val="left" w:leader="none" w:pos="813"/>
          <w:tab w:val="left" w:leader="none" w:pos="415.00000000000006"/>
        </w:tabs>
        <w:spacing w:line="360" w:lineRule="auto"/>
        <w:ind w:left="0" w:firstLine="0"/>
        <w:jc w:val="both"/>
        <w:rPr>
          <w:rFonts w:ascii="Arial" w:cs="Arial" w:eastAsia="Arial" w:hAnsi="Arial"/>
        </w:rPr>
      </w:pPr>
      <w:r w:rsidDel="00000000" w:rsidR="00000000" w:rsidRPr="00000000">
        <w:rPr>
          <w:rtl w:val="0"/>
        </w:rPr>
        <w:t xml:space="preserve">      </w:t>
      </w:r>
      <w:r w:rsidDel="00000000" w:rsidR="00000000" w:rsidRPr="00000000">
        <w:rPr>
          <w:rFonts w:ascii="Arial" w:cs="Arial" w:eastAsia="Arial" w:hAnsi="Arial"/>
          <w:rtl w:val="0"/>
        </w:rPr>
        <w:t xml:space="preserve"> L’affidamento avverrà mediante procedura aperta ai sensi dell’art. 71 del D.lgs. n. 36 del 2023.</w:t>
      </w:r>
    </w:p>
    <w:p w:rsidR="00000000" w:rsidDel="00000000" w:rsidP="00000000" w:rsidRDefault="00000000" w:rsidRPr="00000000" w14:paraId="0000004D">
      <w:pPr>
        <w:tabs>
          <w:tab w:val="left" w:leader="none" w:pos="265.00000000000006"/>
          <w:tab w:val="left" w:leader="none" w:pos="415.00000000000006"/>
        </w:tabs>
        <w:spacing w:line="360" w:lineRule="auto"/>
        <w:ind w:left="425.19685039370086" w:firstLine="0"/>
        <w:jc w:val="both"/>
        <w:rPr/>
      </w:pPr>
      <w:r w:rsidDel="00000000" w:rsidR="00000000" w:rsidRPr="00000000">
        <w:rPr>
          <w:rtl w:val="0"/>
        </w:rPr>
        <w:t xml:space="preserve">A seguito dell’aggiudicazione della presente procedura di gara, verranno stipulati per tutti i lotti delle convenzioni, ad eccezione </w:t>
      </w:r>
      <w:r w:rsidDel="00000000" w:rsidR="00000000" w:rsidRPr="00000000">
        <w:rPr>
          <w:highlight w:val="white"/>
          <w:rtl w:val="0"/>
        </w:rPr>
        <w:t xml:space="preserve">dei lotti nn. 1-3-4-27-28-29-36-37-53 che sar</w:t>
      </w:r>
      <w:r w:rsidDel="00000000" w:rsidR="00000000" w:rsidRPr="00000000">
        <w:rPr>
          <w:rtl w:val="0"/>
        </w:rPr>
        <w:t xml:space="preserve">anno stipulati attraverso l’accordo quadro, di durata di 48 mesi a decorrere dalla sottoscrizione della stessa. Per gli AQ nel caso di numero di offerte valide per il lotto di riferimento sia maggiore di 3, il numero di aggiudicatari AQ sarà pari ad n-1, mentre nel caso di numero di offerte valide sia pari o inferiore a 3 il numero di aggiudicatari AQ sarà pari al numero di offerte valide.</w:t>
      </w:r>
    </w:p>
    <w:p w:rsidR="00000000" w:rsidDel="00000000" w:rsidP="00000000" w:rsidRDefault="00000000" w:rsidRPr="00000000" w14:paraId="0000004E">
      <w:pPr>
        <w:tabs>
          <w:tab w:val="left" w:leader="none" w:pos="813"/>
          <w:tab w:val="left" w:leader="none" w:pos="814"/>
        </w:tabs>
        <w:spacing w:line="360" w:lineRule="auto"/>
        <w:ind w:left="425.19685039370086" w:firstLine="0"/>
        <w:jc w:val="both"/>
        <w:rPr/>
      </w:pPr>
      <w:r w:rsidDel="00000000" w:rsidR="00000000" w:rsidRPr="00000000">
        <w:rPr>
          <w:rtl w:val="0"/>
        </w:rPr>
        <w:t xml:space="preserve">Per durata delle convenzioni e  dell’accordo quadro si intende il periodo entro il quale le Amministrazioni contraenti possono emettere Ordinativi di fornitura, vale a dire, stipulare contratti con il Fornitore Aggiudicatario.</w:t>
      </w:r>
    </w:p>
    <w:p w:rsidR="00000000" w:rsidDel="00000000" w:rsidP="00000000" w:rsidRDefault="00000000" w:rsidRPr="00000000" w14:paraId="0000004F">
      <w:pPr>
        <w:pStyle w:val="Title"/>
        <w:numPr>
          <w:ilvl w:val="0"/>
          <w:numId w:val="1"/>
        </w:numPr>
        <w:ind w:left="720" w:hanging="360"/>
        <w:rPr>
          <w:sz w:val="22"/>
          <w:szCs w:val="22"/>
        </w:rPr>
      </w:pPr>
      <w:bookmarkStart w:colFirst="0" w:colLast="0" w:name="_heading=h.uswnqnsvyrov" w:id="3"/>
      <w:bookmarkEnd w:id="3"/>
      <w:r w:rsidDel="00000000" w:rsidR="00000000" w:rsidRPr="00000000">
        <w:rPr>
          <w:sz w:val="22"/>
          <w:szCs w:val="22"/>
          <w:rtl w:val="0"/>
        </w:rPr>
        <w:t xml:space="preserve">SUDDIVISIONE IN LOTTI</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360" w:lineRule="auto"/>
        <w:ind w:left="393"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La presente procedura di gara è stata suddivisa in </w:t>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Lotti funzionali</w:t>
      </w:r>
      <w:r w:rsidDel="00000000" w:rsidR="00000000" w:rsidRPr="00000000">
        <w:rPr>
          <w:rFonts w:ascii="Arial" w:cs="Arial" w:eastAsia="Arial" w:hAnsi="Arial"/>
          <w:i w:val="0"/>
          <w:smallCaps w:val="0"/>
          <w:strike w:val="0"/>
          <w:color w:val="000000"/>
          <w:u w:val="none"/>
          <w:shd w:fill="auto" w:val="clear"/>
          <w:vertAlign w:val="baseline"/>
          <w:rtl w:val="0"/>
        </w:rPr>
        <w:t xml:space="preserve">, definiti sulla base della tipologia </w:t>
      </w:r>
      <w:r w:rsidDel="00000000" w:rsidR="00000000" w:rsidRPr="00000000">
        <w:rPr>
          <w:rFonts w:ascii="Arial" w:cs="Arial" w:eastAsia="Arial" w:hAnsi="Arial"/>
          <w:rtl w:val="0"/>
        </w:rPr>
        <w:t xml:space="preserve">di prodotti richiesti </w:t>
      </w:r>
      <w:r w:rsidDel="00000000" w:rsidR="00000000" w:rsidRPr="00000000">
        <w:rPr>
          <w:rFonts w:ascii="Arial" w:cs="Arial" w:eastAsia="Arial" w:hAnsi="Arial"/>
          <w:i w:val="0"/>
          <w:smallCaps w:val="0"/>
          <w:strike w:val="0"/>
          <w:color w:val="000000"/>
          <w:u w:val="none"/>
          <w:shd w:fill="auto" w:val="clear"/>
          <w:vertAlign w:val="baseline"/>
          <w:rtl w:val="0"/>
        </w:rPr>
        <w:t xml:space="preserve">e dei relativi requisiti necessari per la partecipazione all’appalto</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3" w:right="0" w:firstLine="0"/>
        <w:jc w:val="left"/>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Nella tabella che segue, si riporta l’ele</w:t>
      </w:r>
      <w:r w:rsidDel="00000000" w:rsidR="00000000" w:rsidRPr="00000000">
        <w:rPr>
          <w:rFonts w:ascii="Arial" w:cs="Arial" w:eastAsia="Arial" w:hAnsi="Arial"/>
          <w:i w:val="0"/>
          <w:smallCaps w:val="0"/>
          <w:strike w:val="0"/>
          <w:color w:val="000000"/>
          <w:highlight w:val="white"/>
          <w:u w:val="none"/>
          <w:vertAlign w:val="baseline"/>
          <w:rtl w:val="0"/>
        </w:rPr>
        <w:t xml:space="preserve">nco dei </w:t>
      </w:r>
      <w:r w:rsidDel="00000000" w:rsidR="00000000" w:rsidRPr="00000000">
        <w:rPr>
          <w:b w:val="1"/>
          <w:highlight w:val="white"/>
          <w:rtl w:val="0"/>
        </w:rPr>
        <w:t xml:space="preserve">64 </w:t>
      </w:r>
      <w:r w:rsidDel="00000000" w:rsidR="00000000" w:rsidRPr="00000000">
        <w:rPr>
          <w:rFonts w:ascii="Arial" w:cs="Arial" w:eastAsia="Arial" w:hAnsi="Arial"/>
          <w:b w:val="1"/>
          <w:i w:val="0"/>
          <w:smallCaps w:val="0"/>
          <w:strike w:val="0"/>
          <w:color w:val="000000"/>
          <w:highlight w:val="white"/>
          <w:u w:val="none"/>
          <w:vertAlign w:val="baseline"/>
          <w:rtl w:val="0"/>
        </w:rPr>
        <w:t xml:space="preserve">Lotti </w:t>
      </w:r>
      <w:r w:rsidDel="00000000" w:rsidR="00000000" w:rsidRPr="00000000">
        <w:rPr>
          <w:rFonts w:ascii="Arial" w:cs="Arial" w:eastAsia="Arial" w:hAnsi="Arial"/>
          <w:i w:val="0"/>
          <w:smallCaps w:val="0"/>
          <w:strike w:val="0"/>
          <w:color w:val="000000"/>
          <w:highlight w:val="white"/>
          <w:u w:val="none"/>
          <w:vertAlign w:val="baseline"/>
          <w:rtl w:val="0"/>
        </w:rPr>
        <w:t xml:space="preserve">della prese</w:t>
      </w:r>
      <w:r w:rsidDel="00000000" w:rsidR="00000000" w:rsidRPr="00000000">
        <w:rPr>
          <w:rFonts w:ascii="Arial" w:cs="Arial" w:eastAsia="Arial" w:hAnsi="Arial"/>
          <w:i w:val="0"/>
          <w:smallCaps w:val="0"/>
          <w:strike w:val="0"/>
          <w:color w:val="000000"/>
          <w:u w:val="none"/>
          <w:shd w:fill="auto" w:val="clear"/>
          <w:vertAlign w:val="baseline"/>
          <w:rtl w:val="0"/>
        </w:rPr>
        <w:t xml:space="preserve">nte procedura:</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3"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53">
      <w:pPr>
        <w:widowControl w:val="1"/>
        <w:spacing w:line="360" w:lineRule="auto"/>
        <w:jc w:val="both"/>
        <w:rPr>
          <w:rFonts w:ascii="Arial" w:cs="Arial" w:eastAsia="Arial" w:hAnsi="Arial"/>
          <w:b w:val="1"/>
          <w:u w:val="single"/>
        </w:rPr>
      </w:pPr>
      <w:r w:rsidDel="00000000" w:rsidR="00000000" w:rsidRPr="00000000">
        <w:rPr>
          <w:rtl w:val="0"/>
        </w:rPr>
      </w:r>
    </w:p>
    <w:tbl>
      <w:tblPr>
        <w:tblStyle w:val="Table1"/>
        <w:tblW w:w="8277.000000000002" w:type="dxa"/>
        <w:jc w:val="center"/>
        <w:tblLayout w:type="fixed"/>
        <w:tblLook w:val="0400"/>
      </w:tblPr>
      <w:tblGrid>
        <w:gridCol w:w="735"/>
        <w:gridCol w:w="7542.000000000002"/>
        <w:tblGridChange w:id="0">
          <w:tblGrid>
            <w:gridCol w:w="735"/>
            <w:gridCol w:w="7542.000000000002"/>
          </w:tblGrid>
        </w:tblGridChange>
      </w:tblGrid>
      <w:tr>
        <w:trPr>
          <w:cantSplit w:val="0"/>
          <w:trHeight w:val="670" w:hRule="atLeast"/>
          <w:tblHeader w:val="1"/>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54">
            <w:pPr>
              <w:widowControl w:val="1"/>
              <w:jc w:val="center"/>
              <w:rPr>
                <w:rFonts w:ascii="Arial" w:cs="Arial" w:eastAsia="Arial" w:hAnsi="Arial"/>
                <w:b w:val="1"/>
              </w:rPr>
            </w:pPr>
            <w:r w:rsidDel="00000000" w:rsidR="00000000" w:rsidRPr="00000000">
              <w:rPr>
                <w:rFonts w:ascii="Arial" w:cs="Arial" w:eastAsia="Arial" w:hAnsi="Arial"/>
                <w:b w:val="1"/>
                <w:rtl w:val="0"/>
              </w:rPr>
              <w:t xml:space="preserve">N. </w:t>
            </w:r>
          </w:p>
        </w:tc>
        <w:tc>
          <w:tcPr>
            <w:tcBorders>
              <w:top w:color="000000" w:space="0" w:sz="4" w:val="single"/>
              <w:left w:color="000000" w:space="0" w:sz="0" w:val="nil"/>
              <w:bottom w:color="000000" w:space="0" w:sz="4" w:val="single"/>
              <w:right w:color="000000" w:space="0" w:sz="4" w:val="single"/>
            </w:tcBorders>
            <w:shd w:fill="e7e6e6" w:val="clear"/>
            <w:vAlign w:val="center"/>
          </w:tcPr>
          <w:p w:rsidR="00000000" w:rsidDel="00000000" w:rsidP="00000000" w:rsidRDefault="00000000" w:rsidRPr="00000000" w14:paraId="00000055">
            <w:pPr>
              <w:widowControl w:val="1"/>
              <w:jc w:val="center"/>
              <w:rPr>
                <w:rFonts w:ascii="Arial" w:cs="Arial" w:eastAsia="Arial" w:hAnsi="Arial"/>
                <w:b w:val="1"/>
              </w:rPr>
            </w:pPr>
            <w:r w:rsidDel="00000000" w:rsidR="00000000" w:rsidRPr="00000000">
              <w:rPr>
                <w:rFonts w:ascii="Arial" w:cs="Arial" w:eastAsia="Arial" w:hAnsi="Arial"/>
                <w:b w:val="1"/>
                <w:rtl w:val="0"/>
              </w:rPr>
              <w:t xml:space="preserve">Oggetto del lotto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6">
            <w:pPr>
              <w:widowControl w:val="1"/>
              <w:jc w:val="cente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57">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Elettrocateteri diagnostici a curva fissa 2 - 4 e 10 poli</w:t>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8">
            <w:pPr>
              <w:widowControl w:val="1"/>
              <w:jc w:val="center"/>
              <w:rPr>
                <w:rFonts w:ascii="Arial" w:cs="Arial" w:eastAsia="Arial" w:hAnsi="Arial"/>
              </w:rPr>
            </w:pPr>
            <w:r w:rsidDel="00000000" w:rsidR="00000000" w:rsidRPr="00000000">
              <w:rPr>
                <w:rFonts w:ascii="Arial" w:cs="Arial" w:eastAsia="Arial" w:hAnsi="Arial"/>
                <w:rtl w:val="0"/>
              </w:rPr>
              <w:t xml:space="preserve">2</w:t>
            </w:r>
          </w:p>
        </w:tc>
        <w:tc>
          <w:tcPr>
            <w:vMerge w:val="restart"/>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Elettrocateteri per stimolazione cardiaca temporanea</w:t>
            </w:r>
          </w:p>
        </w:tc>
      </w:tr>
      <w:tr>
        <w:trPr>
          <w:cantSplit w:val="0"/>
          <w:trHeight w:val="399"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C">
            <w:pPr>
              <w:widowControl w:val="1"/>
              <w:jc w:val="center"/>
              <w:rPr>
                <w:rFonts w:ascii="Arial" w:cs="Arial" w:eastAsia="Arial" w:hAnsi="Arial"/>
              </w:rPr>
            </w:pPr>
            <w:r w:rsidDel="00000000" w:rsidR="00000000" w:rsidRPr="00000000">
              <w:rPr>
                <w:rFonts w:ascii="Arial" w:cs="Arial" w:eastAsia="Arial" w:hAnsi="Arial"/>
                <w:rtl w:val="0"/>
              </w:rPr>
              <w:t xml:space="preserve">3</w:t>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5D">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A Elettrocateteri diagnostici per studi elettrofisiologici</w:t>
            </w:r>
          </w:p>
          <w:p w:rsidR="00000000" w:rsidDel="00000000" w:rsidP="00000000" w:rsidRDefault="00000000" w:rsidRPr="00000000" w14:paraId="0000005E">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B Elettrocateteri decapolari </w:t>
            </w:r>
          </w:p>
          <w:p w:rsidR="00000000" w:rsidDel="00000000" w:rsidP="00000000" w:rsidRDefault="00000000" w:rsidRPr="00000000" w14:paraId="0000005F">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C Elettrocateteri diagnostici decapolari per studi elettrofisiologici</w:t>
            </w:r>
          </w:p>
        </w:tc>
      </w:tr>
      <w:tr>
        <w:trPr>
          <w:cantSplit w:val="0"/>
          <w:trHeight w:val="399"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2">
            <w:pPr>
              <w:widowControl w:val="1"/>
              <w:jc w:val="center"/>
              <w:rPr>
                <w:rFonts w:ascii="Arial" w:cs="Arial" w:eastAsia="Arial" w:hAnsi="Arial"/>
              </w:rPr>
            </w:pPr>
            <w:r w:rsidDel="00000000" w:rsidR="00000000" w:rsidRPr="00000000">
              <w:rPr>
                <w:rFonts w:ascii="Arial" w:cs="Arial" w:eastAsia="Arial" w:hAnsi="Arial"/>
                <w:rtl w:val="0"/>
              </w:rPr>
              <w:t xml:space="preserve">4</w:t>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3">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4A Elettrocateteri diagnostici ventipolari per il mappaggio dell’anello tricuspidale per studi elettrofisiologici</w:t>
            </w:r>
          </w:p>
          <w:p w:rsidR="00000000" w:rsidDel="00000000" w:rsidP="00000000" w:rsidRDefault="00000000" w:rsidRPr="00000000" w14:paraId="00000064">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4B Elettrocateteri diagnostici ventipolari per il mappaggio dell’anello tricuspidale per studi elettrofisiologici a movimento bidirezionale</w:t>
            </w:r>
          </w:p>
        </w:tc>
      </w:tr>
      <w:tr>
        <w:trPr>
          <w:cantSplit w:val="0"/>
          <w:trHeight w:val="399"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r>
      <w:tr>
        <w:trPr>
          <w:cantSplit w:val="0"/>
          <w:trHeight w:val="399"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r>
      <w:tr>
        <w:trPr>
          <w:cantSplit w:val="0"/>
          <w:trHeight w:val="7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color w:val="1f1f1f"/>
                <w:sz w:val="18"/>
                <w:szCs w:val="18"/>
                <w:highlight w:val="white"/>
              </w:rPr>
            </w:pP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B">
            <w:pPr>
              <w:widowControl w:val="1"/>
              <w:jc w:val="center"/>
              <w:rPr>
                <w:rFonts w:ascii="Arial" w:cs="Arial" w:eastAsia="Arial" w:hAnsi="Arial"/>
              </w:rPr>
            </w:pPr>
            <w:r w:rsidDel="00000000" w:rsidR="00000000" w:rsidRPr="00000000">
              <w:rPr>
                <w:rFonts w:ascii="Arial" w:cs="Arial" w:eastAsia="Arial" w:hAnsi="Arial"/>
                <w:rtl w:val="0"/>
              </w:rPr>
              <w:t xml:space="preserve">5</w:t>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C">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diagnostici multi-elettrodo a contatto ad alta densità dotati di sensore magnetico</w:t>
            </w: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D">
            <w:pPr>
              <w:widowControl w:val="1"/>
              <w:jc w:val="center"/>
              <w:rPr>
                <w:rFonts w:ascii="Arial" w:cs="Arial" w:eastAsia="Arial" w:hAnsi="Arial"/>
              </w:rPr>
            </w:pPr>
            <w:r w:rsidDel="00000000" w:rsidR="00000000" w:rsidRPr="00000000">
              <w:rPr>
                <w:rFonts w:ascii="Arial" w:cs="Arial" w:eastAsia="Arial" w:hAnsi="Arial"/>
                <w:rtl w:val="0"/>
              </w:rPr>
              <w:t xml:space="preserve">6</w:t>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6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Elettrocatetere circolare per il mappaggio elettro-anatomico delle camere cardiache</w:t>
            </w:r>
            <w:r w:rsidDel="00000000" w:rsidR="00000000" w:rsidRPr="00000000">
              <w:rPr>
                <w:rtl w:val="0"/>
              </w:rPr>
            </w:r>
          </w:p>
        </w:tc>
      </w:tr>
      <w:tr>
        <w:trPr>
          <w:cantSplit w:val="0"/>
          <w:trHeight w:val="399"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widowControl w:val="1"/>
              <w:jc w:val="center"/>
              <w:rPr>
                <w:rFonts w:ascii="Arial" w:cs="Arial" w:eastAsia="Arial" w:hAnsi="Arial"/>
              </w:rPr>
            </w:pPr>
            <w:r w:rsidDel="00000000" w:rsidR="00000000" w:rsidRPr="00000000">
              <w:rPr>
                <w:rFonts w:ascii="Arial" w:cs="Arial" w:eastAsia="Arial" w:hAnsi="Arial"/>
                <w:rtl w:val="0"/>
              </w:rPr>
              <w:t xml:space="preserve">7</w:t>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2">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Elettrocatetere multipolare per il mappaggio elettro-anatomico delle camere cardiache ad alta densità</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3">
            <w:pPr>
              <w:widowControl w:val="1"/>
              <w:jc w:val="center"/>
              <w:rPr>
                <w:rFonts w:ascii="Arial" w:cs="Arial" w:eastAsia="Arial" w:hAnsi="Arial"/>
              </w:rPr>
            </w:pPr>
            <w:r w:rsidDel="00000000" w:rsidR="00000000" w:rsidRPr="00000000">
              <w:rPr>
                <w:rFonts w:ascii="Arial" w:cs="Arial" w:eastAsia="Arial" w:hAnsi="Arial"/>
                <w:rtl w:val="0"/>
              </w:rPr>
              <w:t xml:space="preserve">8</w:t>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4">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Elettrocatetere multipolare per il mappaggio elettro-anatomico endo- epicardico</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widowControl w:val="1"/>
              <w:jc w:val="center"/>
              <w:rPr>
                <w:rFonts w:ascii="Arial" w:cs="Arial" w:eastAsia="Arial" w:hAnsi="Arial"/>
              </w:rPr>
            </w:pPr>
            <w:r w:rsidDel="00000000" w:rsidR="00000000" w:rsidRPr="00000000">
              <w:rPr>
                <w:rFonts w:ascii="Arial" w:cs="Arial" w:eastAsia="Arial" w:hAnsi="Arial"/>
                <w:rtl w:val="0"/>
              </w:rPr>
              <w:t xml:space="preserve">9</w:t>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6">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Kit elettrodi per la ricostruzione delle camere cardiache su base elettrica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7">
            <w:pPr>
              <w:widowControl w:val="1"/>
              <w:jc w:val="center"/>
              <w:rPr>
                <w:rFonts w:ascii="Arial" w:cs="Arial" w:eastAsia="Arial" w:hAnsi="Arial"/>
              </w:rPr>
            </w:pPr>
            <w:r w:rsidDel="00000000" w:rsidR="00000000" w:rsidRPr="00000000">
              <w:rPr>
                <w:rFonts w:ascii="Arial" w:cs="Arial" w:eastAsia="Arial" w:hAnsi="Arial"/>
                <w:rtl w:val="0"/>
              </w:rPr>
              <w:t xml:space="preserve">10</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8">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Kit elettrodi per la ricostruzione delle camere cardiache su base magnetica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9">
            <w:pPr>
              <w:widowControl w:val="1"/>
              <w:jc w:val="center"/>
              <w:rPr>
                <w:rFonts w:ascii="Arial" w:cs="Arial" w:eastAsia="Arial" w:hAnsi="Arial"/>
              </w:rPr>
            </w:pPr>
            <w:r w:rsidDel="00000000" w:rsidR="00000000" w:rsidRPr="00000000">
              <w:rPr>
                <w:rtl w:val="0"/>
              </w:rPr>
              <w:t xml:space="preserve">11</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A">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Sonda ecografica endovascolare monouso</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widowControl w:val="1"/>
              <w:jc w:val="center"/>
              <w:rPr>
                <w:rFonts w:ascii="Arial" w:cs="Arial" w:eastAsia="Arial" w:hAnsi="Arial"/>
              </w:rPr>
            </w:pPr>
            <w:r w:rsidDel="00000000" w:rsidR="00000000" w:rsidRPr="00000000">
              <w:rPr>
                <w:rtl w:val="0"/>
              </w:rPr>
              <w:t xml:space="preserve">12</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C">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dedicati all’ablazione dell’istmo cavo-tricuspidalico, bidirezionali e ad elevata potenza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D">
            <w:pPr>
              <w:widowControl w:val="1"/>
              <w:jc w:val="center"/>
              <w:rPr>
                <w:rFonts w:ascii="Arial" w:cs="Arial" w:eastAsia="Arial" w:hAnsi="Arial"/>
              </w:rPr>
            </w:pPr>
            <w:r w:rsidDel="00000000" w:rsidR="00000000" w:rsidRPr="00000000">
              <w:rPr>
                <w:rtl w:val="0"/>
              </w:rPr>
              <w:t xml:space="preserve">13</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7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bidirezionali irrigati</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F">
            <w:pPr>
              <w:widowControl w:val="1"/>
              <w:jc w:val="center"/>
              <w:rPr>
                <w:rFonts w:ascii="Arial" w:cs="Arial" w:eastAsia="Arial" w:hAnsi="Arial"/>
              </w:rPr>
            </w:pPr>
            <w:r w:rsidDel="00000000" w:rsidR="00000000" w:rsidRPr="00000000">
              <w:rPr>
                <w:rtl w:val="0"/>
              </w:rPr>
              <w:t xml:space="preserve">14</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0">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bidirezionali con microelettrodi in punta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1">
            <w:pPr>
              <w:widowControl w:val="1"/>
              <w:jc w:val="center"/>
              <w:rPr>
                <w:rFonts w:ascii="Arial" w:cs="Arial" w:eastAsia="Arial" w:hAnsi="Arial"/>
              </w:rPr>
            </w:pPr>
            <w:r w:rsidDel="00000000" w:rsidR="00000000" w:rsidRPr="00000000">
              <w:rPr>
                <w:rtl w:val="0"/>
              </w:rPr>
              <w:t xml:space="preserve">15</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2">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con punta 8 mm monodirezionali</w:t>
            </w: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3">
            <w:pPr>
              <w:widowControl w:val="1"/>
              <w:jc w:val="center"/>
              <w:rPr>
                <w:rFonts w:ascii="Arial" w:cs="Arial" w:eastAsia="Arial" w:hAnsi="Arial"/>
              </w:rPr>
            </w:pPr>
            <w:r w:rsidDel="00000000" w:rsidR="00000000" w:rsidRPr="00000000">
              <w:rPr>
                <w:rtl w:val="0"/>
              </w:rPr>
              <w:t xml:space="preserve">16</w:t>
            </w:r>
            <w:r w:rsidDel="00000000" w:rsidR="00000000" w:rsidRPr="00000000">
              <w:rPr>
                <w:rtl w:val="0"/>
              </w:rPr>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4">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irrigati, a bassa densità di fori per irrigazione</w:t>
            </w:r>
            <w:r w:rsidDel="00000000" w:rsidR="00000000" w:rsidRPr="00000000">
              <w:rPr>
                <w:rtl w:val="0"/>
              </w:rPr>
            </w:r>
          </w:p>
        </w:tc>
      </w:tr>
      <w:tr>
        <w:trPr>
          <w:cantSplit w:val="0"/>
          <w:trHeight w:val="6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widowControl w:val="1"/>
              <w:jc w:val="center"/>
              <w:rPr>
                <w:rFonts w:ascii="Arial" w:cs="Arial" w:eastAsia="Arial" w:hAnsi="Arial"/>
              </w:rPr>
            </w:pPr>
            <w:r w:rsidDel="00000000" w:rsidR="00000000" w:rsidRPr="00000000">
              <w:rPr>
                <w:rtl w:val="0"/>
              </w:rPr>
              <w:t xml:space="preserve">17</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8">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irrigati, con sensore magnetico</w:t>
            </w: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9">
            <w:pPr>
              <w:widowControl w:val="1"/>
              <w:jc w:val="center"/>
              <w:rPr>
                <w:rFonts w:ascii="Arial" w:cs="Arial" w:eastAsia="Arial" w:hAnsi="Arial"/>
              </w:rPr>
            </w:pPr>
            <w:r w:rsidDel="00000000" w:rsidR="00000000" w:rsidRPr="00000000">
              <w:rPr>
                <w:rtl w:val="0"/>
              </w:rPr>
              <w:t xml:space="preserve">18</w:t>
            </w:r>
            <w:r w:rsidDel="00000000" w:rsidR="00000000" w:rsidRPr="00000000">
              <w:rPr>
                <w:rtl w:val="0"/>
              </w:rPr>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A">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con sensore di forza</w:t>
            </w:r>
            <w:r w:rsidDel="00000000" w:rsidR="00000000" w:rsidRPr="00000000">
              <w:rPr>
                <w:rtl w:val="0"/>
              </w:rPr>
            </w:r>
          </w:p>
        </w:tc>
      </w:tr>
      <w:tr>
        <w:trPr>
          <w:cantSplit w:val="0"/>
          <w:trHeight w:val="22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D">
            <w:pPr>
              <w:widowControl w:val="1"/>
              <w:jc w:val="center"/>
              <w:rPr>
                <w:rFonts w:ascii="Arial" w:cs="Arial" w:eastAsia="Arial" w:hAnsi="Arial"/>
              </w:rPr>
            </w:pPr>
            <w:r w:rsidDel="00000000" w:rsidR="00000000" w:rsidRPr="00000000">
              <w:rPr>
                <w:rtl w:val="0"/>
              </w:rPr>
              <w:t xml:space="preserve">19</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8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da ablazione con sensore di contatto ad elevata capacità di irrigazione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F">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0</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0">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irrigati da ablazione focale con punta di diamante</w:t>
            </w:r>
            <w:r w:rsidDel="00000000" w:rsidR="00000000" w:rsidRPr="00000000">
              <w:rPr>
                <w:rtl w:val="0"/>
              </w:rPr>
            </w:r>
          </w:p>
        </w:tc>
      </w:tr>
      <w:tr>
        <w:trPr>
          <w:cantSplit w:val="0"/>
          <w:trHeight w:val="399"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1">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1</w:t>
            </w:r>
            <w:r w:rsidDel="00000000" w:rsidR="00000000" w:rsidRPr="00000000">
              <w:rPr>
                <w:rtl w:val="0"/>
              </w:rPr>
            </w:r>
          </w:p>
        </w:tc>
        <w:tc>
          <w:tcPr>
            <w:vMerge w:val="restart"/>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2">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per ablazione High Power-Short Duration</w:t>
            </w:r>
            <w:r w:rsidDel="00000000" w:rsidR="00000000" w:rsidRPr="00000000">
              <w:rPr>
                <w:rtl w:val="0"/>
              </w:rPr>
            </w:r>
          </w:p>
        </w:tc>
      </w:tr>
      <w:tr>
        <w:trPr>
          <w:cantSplit w:val="0"/>
          <w:trHeight w:val="6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2</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6">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Kit Elettrocatetere/introduttore per elettroporazione per ablazione delle vene polmonari OneShot</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7">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3</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8">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Elettrocatetere per elettroporazione per ablazione delle vene polmonari punto punto</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9">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4</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A">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Kit Elettrocatetere e introduttore per ablazione a radiofrequenza delle vene polmonari OneShot irrigato</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B">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5</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C">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per crioablazione focale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6</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9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per crioablazione One - Shot</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F">
            <w:pPr>
              <w:widowControl w:val="1"/>
              <w:jc w:val="center"/>
              <w:rPr>
                <w:rFonts w:ascii="Arial" w:cs="Arial" w:eastAsia="Arial" w:hAnsi="Arial"/>
              </w:rPr>
            </w:pPr>
            <w:r w:rsidDel="00000000" w:rsidR="00000000" w:rsidRPr="00000000">
              <w:rPr>
                <w:rFonts w:ascii="Arial" w:cs="Arial" w:eastAsia="Arial" w:hAnsi="Arial"/>
                <w:rtl w:val="0"/>
              </w:rPr>
              <w:t xml:space="preserve">2</w:t>
            </w:r>
            <w:r w:rsidDel="00000000" w:rsidR="00000000" w:rsidRPr="00000000">
              <w:rPr>
                <w:rtl w:val="0"/>
              </w:rPr>
              <w:t xml:space="preserve">7</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0">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Elettrocateteri per monitoraggio temperatura esofagea </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widowControl w:val="1"/>
              <w:jc w:val="center"/>
              <w:rPr>
                <w:rFonts w:ascii="Arial" w:cs="Arial" w:eastAsia="Arial" w:hAnsi="Arial"/>
              </w:rPr>
            </w:pPr>
            <w:r w:rsidDel="00000000" w:rsidR="00000000" w:rsidRPr="00000000">
              <w:rPr>
                <w:rtl w:val="0"/>
              </w:rPr>
              <w:t xml:space="preserve">28</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2">
            <w:pPr>
              <w:spacing w:line="276" w:lineRule="auto"/>
              <w:jc w:val="center"/>
              <w:rPr>
                <w:rFonts w:ascii="Roboto" w:cs="Roboto" w:eastAsia="Roboto" w:hAnsi="Roboto"/>
                <w:color w:val="1f1f1f"/>
                <w:sz w:val="18"/>
                <w:szCs w:val="18"/>
                <w:highlight w:val="white"/>
              </w:rPr>
            </w:pPr>
            <w:r w:rsidDel="00000000" w:rsidR="00000000" w:rsidRPr="00000000">
              <w:rPr>
                <w:sz w:val="18"/>
                <w:szCs w:val="18"/>
                <w:rtl w:val="0"/>
              </w:rPr>
              <w:t xml:space="preserve"> </w:t>
            </w:r>
            <w:r w:rsidDel="00000000" w:rsidR="00000000" w:rsidRPr="00000000">
              <w:rPr>
                <w:rFonts w:ascii="Roboto" w:cs="Roboto" w:eastAsia="Roboto" w:hAnsi="Roboto"/>
                <w:color w:val="1f1f1f"/>
                <w:sz w:val="18"/>
                <w:szCs w:val="18"/>
                <w:highlight w:val="white"/>
                <w:rtl w:val="0"/>
              </w:rPr>
              <w:t xml:space="preserve">Elettrocateteri per studi elettrofisiologici trans-esofagei pediatrici e adulti</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3">
            <w:pPr>
              <w:widowControl w:val="1"/>
              <w:jc w:val="center"/>
              <w:rPr>
                <w:rFonts w:ascii="Arial" w:cs="Arial" w:eastAsia="Arial" w:hAnsi="Arial"/>
              </w:rPr>
            </w:pPr>
            <w:r w:rsidDel="00000000" w:rsidR="00000000" w:rsidRPr="00000000">
              <w:rPr>
                <w:rtl w:val="0"/>
              </w:rPr>
              <w:t xml:space="preserve">29</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4">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Introduttori per cateterismo trans-settale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5">
            <w:pPr>
              <w:widowControl w:val="1"/>
              <w:jc w:val="center"/>
              <w:rPr>
                <w:rFonts w:ascii="Arial" w:cs="Arial" w:eastAsia="Arial" w:hAnsi="Arial"/>
              </w:rPr>
            </w:pPr>
            <w:r w:rsidDel="00000000" w:rsidR="00000000" w:rsidRPr="00000000">
              <w:rPr>
                <w:rtl w:val="0"/>
              </w:rPr>
              <w:t xml:space="preserve">30</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6">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Introduttore lungo per cateterismo transsettale orientabile bidirezionale munito di elettrodi per la visualizzazione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1</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auto"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8">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Introduttore lungo per il posizionamento dei cateteri su anello mitralico orientabile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9">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2</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A">
            <w:pPr>
              <w:spacing w:line="276" w:lineRule="auto"/>
              <w:jc w:val="left"/>
              <w:rPr>
                <w:rFonts w:ascii="Roboto" w:cs="Roboto" w:eastAsia="Roboto" w:hAnsi="Roboto"/>
                <w:color w:val="1f1f1f"/>
                <w:sz w:val="18"/>
                <w:szCs w:val="18"/>
                <w:highlight w:val="white"/>
              </w:rPr>
            </w:pPr>
            <w:r w:rsidDel="00000000" w:rsidR="00000000" w:rsidRPr="00000000">
              <w:rPr>
                <w:sz w:val="18"/>
                <w:szCs w:val="18"/>
                <w:rtl w:val="0"/>
              </w:rPr>
              <w:t xml:space="preserve">                           </w:t>
            </w:r>
            <w:r w:rsidDel="00000000" w:rsidR="00000000" w:rsidRPr="00000000">
              <w:rPr>
                <w:sz w:val="20"/>
                <w:szCs w:val="20"/>
                <w:rtl w:val="0"/>
              </w:rPr>
              <w:t xml:space="preserve"> </w:t>
            </w:r>
            <w:r w:rsidDel="00000000" w:rsidR="00000000" w:rsidRPr="00000000">
              <w:rPr>
                <w:rFonts w:ascii="Roboto" w:cs="Roboto" w:eastAsia="Roboto" w:hAnsi="Roboto"/>
                <w:color w:val="1f1f1f"/>
                <w:sz w:val="18"/>
                <w:szCs w:val="18"/>
                <w:highlight w:val="white"/>
                <w:rtl w:val="0"/>
              </w:rPr>
              <w:t xml:space="preserve">Ago Brockembrough per puntura transettale e  ad uso pediatrico</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B">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3</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C">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Placche elettrodo indifferente dedicati per elettrofisiologia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D">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4</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A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Coppia di piastre per defibrillazione radiotrasparenti</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F">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5</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0">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Manipoli per Elettrobisturi al plasma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1">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6</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2">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Introduttori vascolari valvolati standard, medi, corti, lunghi per l’inserimento di elettrocateteri nel torrente circolatorio</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3">
            <w:pPr>
              <w:widowControl w:val="1"/>
              <w:jc w:val="center"/>
              <w:rPr>
                <w:rFonts w:ascii="Arial" w:cs="Arial" w:eastAsia="Arial" w:hAnsi="Arial"/>
              </w:rPr>
            </w:pPr>
            <w:r w:rsidDel="00000000" w:rsidR="00000000" w:rsidRPr="00000000">
              <w:rPr>
                <w:rFonts w:ascii="Arial" w:cs="Arial" w:eastAsia="Arial" w:hAnsi="Arial"/>
                <w:rtl w:val="0"/>
              </w:rPr>
              <w:t xml:space="preserve">3</w:t>
            </w:r>
            <w:r w:rsidDel="00000000" w:rsidR="00000000" w:rsidRPr="00000000">
              <w:rPr>
                <w:rtl w:val="0"/>
              </w:rPr>
              <w:t xml:space="preserve">7</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4">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Sistema di introduzione per stimolazione fisiologica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5">
            <w:pPr>
              <w:widowControl w:val="1"/>
              <w:jc w:val="center"/>
              <w:rPr>
                <w:rFonts w:ascii="Arial" w:cs="Arial" w:eastAsia="Arial" w:hAnsi="Arial"/>
              </w:rPr>
            </w:pPr>
            <w:r w:rsidDel="00000000" w:rsidR="00000000" w:rsidRPr="00000000">
              <w:rPr>
                <w:rtl w:val="0"/>
              </w:rPr>
              <w:t xml:space="preserve">38</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6">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Kit Procedurale procedure di elettrofisiologia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7">
            <w:pPr>
              <w:widowControl w:val="1"/>
              <w:jc w:val="center"/>
              <w:rPr>
                <w:rFonts w:ascii="Arial" w:cs="Arial" w:eastAsia="Arial" w:hAnsi="Arial"/>
              </w:rPr>
            </w:pPr>
            <w:r w:rsidDel="00000000" w:rsidR="00000000" w:rsidRPr="00000000">
              <w:rPr>
                <w:rtl w:val="0"/>
              </w:rPr>
              <w:t xml:space="preserve">39</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8">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a medio termine </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9">
            <w:pPr>
              <w:widowControl w:val="1"/>
              <w:jc w:val="center"/>
              <w:rPr>
                <w:rFonts w:ascii="Arial" w:cs="Arial" w:eastAsia="Arial" w:hAnsi="Arial"/>
              </w:rPr>
            </w:pPr>
            <w:r w:rsidDel="00000000" w:rsidR="00000000" w:rsidRPr="00000000">
              <w:rPr>
                <w:rtl w:val="0"/>
              </w:rPr>
              <w:t xml:space="preserve">40</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A">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di lungo termine - Misura per adulti</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B">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1</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C">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pregellati con cavetto -Misura per neonati - Set di 3 elettrodi</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D">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2</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BE">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di breve e medio termine - Misura Pediatrica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F">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3</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0">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non radiotrasparente, senza cavo - Misura Neonatale</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1">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4</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2">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per prove da sforzo e Holter</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3">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5</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4">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monitoraggio elettrocardiografico (ECG) a lungo termine con connettore decentrato - Misura per  Adulti</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5">
            <w:pPr>
              <w:widowControl w:val="1"/>
              <w:jc w:val="center"/>
              <w:rPr>
                <w:rFonts w:ascii="Arial" w:cs="Arial" w:eastAsia="Arial" w:hAnsi="Arial"/>
              </w:rPr>
            </w:pPr>
            <w:r w:rsidDel="00000000" w:rsidR="00000000" w:rsidRPr="00000000">
              <w:rPr>
                <w:rFonts w:ascii="Arial" w:cs="Arial" w:eastAsia="Arial" w:hAnsi="Arial"/>
                <w:rtl w:val="0"/>
              </w:rPr>
              <w:t xml:space="preserve">4</w:t>
            </w:r>
            <w:r w:rsidDel="00000000" w:rsidR="00000000" w:rsidRPr="00000000">
              <w:rPr>
                <w:rtl w:val="0"/>
              </w:rPr>
              <w:t xml:space="preserve">6</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6">
            <w:pPr>
              <w:spacing w:line="276" w:lineRule="auto"/>
              <w:jc w:val="center"/>
              <w:rPr>
                <w:rFonts w:ascii="Arial" w:cs="Arial" w:eastAsia="Arial" w:hAnsi="Arial"/>
                <w:sz w:val="20"/>
                <w:szCs w:val="20"/>
              </w:rPr>
            </w:pPr>
            <w:r w:rsidDel="00000000" w:rsidR="00000000" w:rsidRPr="00000000">
              <w:rPr>
                <w:rFonts w:ascii="Roboto" w:cs="Roboto" w:eastAsia="Roboto" w:hAnsi="Roboto"/>
                <w:color w:val="1f1f1f"/>
                <w:sz w:val="18"/>
                <w:szCs w:val="18"/>
                <w:highlight w:val="white"/>
                <w:rtl w:val="0"/>
              </w:rPr>
              <w:t xml:space="preserve">Elettrodi per impedenziometria</w:t>
            </w:r>
            <w:r w:rsidDel="00000000" w:rsidR="00000000" w:rsidRPr="00000000">
              <w:rPr>
                <w:rtl w:val="0"/>
              </w:rPr>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7">
            <w:pPr>
              <w:widowControl w:val="1"/>
              <w:jc w:val="center"/>
              <w:rPr>
                <w:rFonts w:ascii="Arial" w:cs="Arial" w:eastAsia="Arial" w:hAnsi="Arial"/>
              </w:rPr>
            </w:pPr>
            <w:r w:rsidDel="00000000" w:rsidR="00000000" w:rsidRPr="00000000">
              <w:rPr>
                <w:rtl w:val="0"/>
              </w:rPr>
              <w:t xml:space="preserve">47</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8">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Elettrodi per elettromiografia</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9">
            <w:pPr>
              <w:widowControl w:val="1"/>
              <w:jc w:val="center"/>
              <w:rPr/>
            </w:pPr>
            <w:r w:rsidDel="00000000" w:rsidR="00000000" w:rsidRPr="00000000">
              <w:rPr>
                <w:rtl w:val="0"/>
              </w:rPr>
              <w:t xml:space="preserve">48</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A">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Introduttore Laser per estrazione di elettrocateteri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B">
            <w:pPr>
              <w:widowControl w:val="1"/>
              <w:jc w:val="center"/>
              <w:rPr/>
            </w:pPr>
            <w:r w:rsidDel="00000000" w:rsidR="00000000" w:rsidRPr="00000000">
              <w:rPr>
                <w:rtl w:val="0"/>
              </w:rPr>
              <w:t xml:space="preserve">49</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C">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Dilatatore meccanico con corpo flessibile  per estrazione di elettrocateteri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D">
            <w:pPr>
              <w:widowControl w:val="1"/>
              <w:jc w:val="center"/>
              <w:rPr/>
            </w:pPr>
            <w:r w:rsidDel="00000000" w:rsidR="00000000" w:rsidRPr="00000000">
              <w:rPr>
                <w:rtl w:val="0"/>
              </w:rPr>
              <w:t xml:space="preserve">50</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CE">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Dilatatore meccanico lungo con punta  non cutting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F">
            <w:pPr>
              <w:widowControl w:val="1"/>
              <w:jc w:val="center"/>
              <w:rPr/>
            </w:pPr>
            <w:r w:rsidDel="00000000" w:rsidR="00000000" w:rsidRPr="00000000">
              <w:rPr>
                <w:rtl w:val="0"/>
              </w:rPr>
              <w:t xml:space="preserve">51</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0">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Dilatatore meccanico corto</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1">
            <w:pPr>
              <w:widowControl w:val="1"/>
              <w:jc w:val="center"/>
              <w:rPr/>
            </w:pPr>
            <w:r w:rsidDel="00000000" w:rsidR="00000000" w:rsidRPr="00000000">
              <w:rPr>
                <w:rtl w:val="0"/>
              </w:rPr>
              <w:t xml:space="preserve">52</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2">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Cannule con punta rinforzata in metallo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3">
            <w:pPr>
              <w:widowControl w:val="1"/>
              <w:jc w:val="center"/>
              <w:rPr/>
            </w:pPr>
            <w:r w:rsidDel="00000000" w:rsidR="00000000" w:rsidRPr="00000000">
              <w:rPr>
                <w:rtl w:val="0"/>
              </w:rPr>
              <w:t xml:space="preserve">53</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4">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Cannule telescopiche</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5">
            <w:pPr>
              <w:widowControl w:val="1"/>
              <w:jc w:val="center"/>
              <w:rPr/>
            </w:pPr>
            <w:r w:rsidDel="00000000" w:rsidR="00000000" w:rsidRPr="00000000">
              <w:rPr>
                <w:rtl w:val="0"/>
              </w:rPr>
              <w:t xml:space="preserve">54</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6">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Manipolo per serraggio meccanico di cannule per estrazione di elettrocateteri impiantati sterile monouso</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7">
            <w:pPr>
              <w:widowControl w:val="1"/>
              <w:jc w:val="center"/>
              <w:rPr/>
            </w:pPr>
            <w:r w:rsidDel="00000000" w:rsidR="00000000" w:rsidRPr="00000000">
              <w:rPr>
                <w:rtl w:val="0"/>
              </w:rPr>
              <w:t xml:space="preserve">55</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8">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Catetere a palloncino disegnato per occlusione temporanea della vena cava superiore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9">
            <w:pPr>
              <w:widowControl w:val="1"/>
              <w:jc w:val="center"/>
              <w:rPr/>
            </w:pPr>
            <w:r w:rsidDel="00000000" w:rsidR="00000000" w:rsidRPr="00000000">
              <w:rPr>
                <w:rtl w:val="0"/>
              </w:rPr>
              <w:t xml:space="preserve">56</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A">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Sistema di recupero femorale e/o giugulare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B">
            <w:pPr>
              <w:widowControl w:val="1"/>
              <w:jc w:val="center"/>
              <w:rPr/>
            </w:pPr>
            <w:r w:rsidDel="00000000" w:rsidR="00000000" w:rsidRPr="00000000">
              <w:rPr>
                <w:rtl w:val="0"/>
              </w:rPr>
              <w:t xml:space="preserve">57</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C">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Sistema metallico di stabilizzazione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D">
            <w:pPr>
              <w:widowControl w:val="1"/>
              <w:jc w:val="center"/>
              <w:rPr/>
            </w:pPr>
            <w:r w:rsidDel="00000000" w:rsidR="00000000" w:rsidRPr="00000000">
              <w:rPr>
                <w:rtl w:val="0"/>
              </w:rPr>
              <w:t xml:space="preserve">58</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DE">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Kit accessori per estrazione</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widowControl w:val="1"/>
              <w:jc w:val="center"/>
              <w:rPr/>
            </w:pPr>
            <w:r w:rsidDel="00000000" w:rsidR="00000000" w:rsidRPr="00000000">
              <w:rPr>
                <w:rtl w:val="0"/>
              </w:rPr>
              <w:t xml:space="preserve">59</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0">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Cateteri per recupero corpi estranei</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1">
            <w:pPr>
              <w:widowControl w:val="1"/>
              <w:jc w:val="center"/>
              <w:rPr/>
            </w:pPr>
            <w:r w:rsidDel="00000000" w:rsidR="00000000" w:rsidRPr="00000000">
              <w:rPr>
                <w:rtl w:val="0"/>
              </w:rPr>
              <w:t xml:space="preserve">60</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2">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Stiletto Autobloccante con capacità di espansione per tutta la lunghezza dell’elettrocatetere</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3">
            <w:pPr>
              <w:widowControl w:val="1"/>
              <w:jc w:val="center"/>
              <w:rPr/>
            </w:pPr>
            <w:r w:rsidDel="00000000" w:rsidR="00000000" w:rsidRPr="00000000">
              <w:rPr>
                <w:rtl w:val="0"/>
              </w:rPr>
              <w:t xml:space="preserve">61</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4">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Mandrino autobloccante con ancoraggio distale </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5">
            <w:pPr>
              <w:widowControl w:val="1"/>
              <w:jc w:val="center"/>
              <w:rPr/>
            </w:pPr>
            <w:r w:rsidDel="00000000" w:rsidR="00000000" w:rsidRPr="00000000">
              <w:rPr>
                <w:rtl w:val="0"/>
              </w:rPr>
              <w:t xml:space="preserve">62</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6">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Dispositivo ancoraggio prossimale degli elettrocateteri</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7">
            <w:pPr>
              <w:widowControl w:val="1"/>
              <w:jc w:val="center"/>
              <w:rPr/>
            </w:pPr>
            <w:r w:rsidDel="00000000" w:rsidR="00000000" w:rsidRPr="00000000">
              <w:rPr>
                <w:rtl w:val="0"/>
              </w:rPr>
              <w:t xml:space="preserve">63</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8">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Set di introduttori curvi compatibili con sistema di estrazione via femorale tipo needle’s eye snare</w:t>
            </w:r>
          </w:p>
        </w:tc>
      </w:tr>
      <w:tr>
        <w:trPr>
          <w:cantSplit w:val="0"/>
          <w:trHeight w:val="3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9">
            <w:pPr>
              <w:widowControl w:val="1"/>
              <w:jc w:val="center"/>
              <w:rPr/>
            </w:pPr>
            <w:r w:rsidDel="00000000" w:rsidR="00000000" w:rsidRPr="00000000">
              <w:rPr>
                <w:rtl w:val="0"/>
              </w:rPr>
              <w:t xml:space="preserve">64</w:t>
            </w:r>
          </w:p>
        </w:tc>
        <w:tc>
          <w:tcPr>
            <w:tcBorders>
              <w:top w:color="cccccc" w:space="0" w:sz="6" w:val="single"/>
              <w:left w:color="000000" w:space="0" w:sz="6" w:val="single"/>
              <w:bottom w:color="000000" w:space="0" w:sz="6" w:val="single"/>
              <w:right w:color="000000" w:space="0" w:sz="6" w:val="single"/>
            </w:tcBorders>
            <w:shd w:fill="ffffff" w:val="clear"/>
            <w:tcMar>
              <w:top w:w="-16.440944881889767" w:type="dxa"/>
              <w:left w:w="-16.440944881889767" w:type="dxa"/>
              <w:bottom w:w="-16.440944881889767" w:type="dxa"/>
              <w:right w:w="-16.440944881889767" w:type="dxa"/>
            </w:tcMar>
            <w:vAlign w:val="center"/>
          </w:tcPr>
          <w:p w:rsidR="00000000" w:rsidDel="00000000" w:rsidP="00000000" w:rsidRDefault="00000000" w:rsidRPr="00000000" w14:paraId="000000EA">
            <w:pPr>
              <w:spacing w:line="276" w:lineRule="auto"/>
              <w:jc w:val="center"/>
              <w:rPr>
                <w:rFonts w:ascii="Roboto" w:cs="Roboto" w:eastAsia="Roboto" w:hAnsi="Roboto"/>
                <w:color w:val="1f1f1f"/>
                <w:sz w:val="18"/>
                <w:szCs w:val="18"/>
                <w:highlight w:val="white"/>
              </w:rPr>
            </w:pPr>
            <w:r w:rsidDel="00000000" w:rsidR="00000000" w:rsidRPr="00000000">
              <w:rPr>
                <w:rFonts w:ascii="Roboto" w:cs="Roboto" w:eastAsia="Roboto" w:hAnsi="Roboto"/>
                <w:color w:val="1f1f1f"/>
                <w:sz w:val="18"/>
                <w:szCs w:val="18"/>
                <w:highlight w:val="white"/>
                <w:rtl w:val="0"/>
              </w:rPr>
              <w:t xml:space="preserve">Elettrocateteri diagnostici di dimensioni ridotte per il mappaggio delle ramificazioni del seno coronarico</w:t>
            </w:r>
          </w:p>
        </w:tc>
      </w:tr>
    </w:tbl>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pPr>
      <w:r w:rsidDel="00000000" w:rsidR="00000000" w:rsidRPr="00000000">
        <w:rPr>
          <w:rtl w:val="0"/>
        </w:rPr>
      </w:r>
    </w:p>
    <w:p w:rsidR="00000000" w:rsidDel="00000000" w:rsidP="00000000" w:rsidRDefault="00000000" w:rsidRPr="00000000" w14:paraId="000000EF">
      <w:pPr>
        <w:pStyle w:val="Title"/>
        <w:numPr>
          <w:ilvl w:val="0"/>
          <w:numId w:val="1"/>
        </w:numPr>
        <w:tabs>
          <w:tab w:val="left" w:leader="none" w:pos="813"/>
          <w:tab w:val="left" w:leader="none" w:pos="814"/>
        </w:tabs>
        <w:ind w:left="720" w:hanging="360"/>
        <w:rPr>
          <w:sz w:val="22"/>
          <w:szCs w:val="22"/>
        </w:rPr>
      </w:pPr>
      <w:bookmarkStart w:colFirst="0" w:colLast="0" w:name="_heading=h.3znysh7" w:id="4"/>
      <w:bookmarkEnd w:id="4"/>
      <w:r w:rsidDel="00000000" w:rsidR="00000000" w:rsidRPr="00000000">
        <w:rPr>
          <w:sz w:val="22"/>
          <w:szCs w:val="22"/>
          <w:rtl w:val="0"/>
        </w:rPr>
        <w:t xml:space="preserve">INDIVIDUAZIONE DEI FABBISOGNI</w:t>
      </w:r>
    </w:p>
    <w:p w:rsidR="00000000" w:rsidDel="00000000" w:rsidP="00000000" w:rsidRDefault="00000000" w:rsidRPr="00000000" w14:paraId="000000F0">
      <w:pPr>
        <w:tabs>
          <w:tab w:val="left" w:leader="none" w:pos="813"/>
          <w:tab w:val="left" w:leader="none" w:pos="814"/>
        </w:tabs>
        <w:rPr/>
      </w:pPr>
      <w:r w:rsidDel="00000000" w:rsidR="00000000" w:rsidRPr="00000000">
        <w:rPr>
          <w:rtl w:val="0"/>
        </w:rPr>
      </w:r>
    </w:p>
    <w:p w:rsidR="00000000" w:rsidDel="00000000" w:rsidP="00000000" w:rsidRDefault="00000000" w:rsidRPr="00000000" w14:paraId="000000F1">
      <w:pPr>
        <w:widowControl w:val="1"/>
        <w:spacing w:line="360" w:lineRule="auto"/>
        <w:ind w:left="425.19685039370086" w:firstLine="0"/>
        <w:jc w:val="both"/>
        <w:rPr>
          <w:rFonts w:ascii="Arial" w:cs="Arial" w:eastAsia="Arial" w:hAnsi="Arial"/>
        </w:rPr>
      </w:pPr>
      <w:r w:rsidDel="00000000" w:rsidR="00000000" w:rsidRPr="00000000">
        <w:rPr>
          <w:rFonts w:ascii="Arial" w:cs="Arial" w:eastAsia="Arial" w:hAnsi="Arial"/>
          <w:rtl w:val="0"/>
        </w:rPr>
        <w:t xml:space="preserve">Al fine del corretto espletamento della fornitura è stata svolta un’analisi della domanda condotta attraverso la somministrazione di un questionario dei fabbisogni di acquisto delle Aziende Sanitarie della Regione Umbria, in termini di prodotti forniti,  prezzi applicati dagli attuali fornitori, e dichiarazione della spesa complessiva per la specifica CND. </w:t>
        <w:br w:type="textWrapping"/>
        <w:t xml:space="preserve">Le Aziende consultate sono state l’Azienda Ospedaliera di Perugia, l’Azienda Ospedaliera di Terni, la Usl Umbria 1 e la Usl Umbria 2; queste hanno risposto alla richiesta dei fabbisogni dai quali è stato possibile tracciare un perimetro di gara che, a sua volta, ha consentito di definire l’elenco dei lotti oggetto della procedura di affidamento. </w:t>
      </w:r>
    </w:p>
    <w:p w:rsidR="00000000" w:rsidDel="00000000" w:rsidP="00000000" w:rsidRDefault="00000000" w:rsidRPr="00000000" w14:paraId="000000F2">
      <w:pPr>
        <w:widowControl w:val="1"/>
        <w:spacing w:line="360" w:lineRule="auto"/>
        <w:ind w:left="425.19685039370086" w:firstLine="0"/>
        <w:jc w:val="both"/>
        <w:rPr>
          <w:rFonts w:ascii="Arial" w:cs="Arial" w:eastAsia="Arial" w:hAnsi="Arial"/>
        </w:rPr>
      </w:pPr>
      <w:r w:rsidDel="00000000" w:rsidR="00000000" w:rsidRPr="00000000">
        <w:rPr>
          <w:rtl w:val="0"/>
        </w:rPr>
        <w:t xml:space="preserve">Il Totale fabbisogno regionale per 48 mesi è riportato nell’allegato n. 9 al Disciplinare, “Tabella elenco lotti e valori”.</w:t>
      </w:r>
      <w:r w:rsidDel="00000000" w:rsidR="00000000" w:rsidRPr="00000000">
        <w:rPr>
          <w:rtl w:val="0"/>
        </w:rPr>
      </w:r>
    </w:p>
    <w:p w:rsidR="00000000" w:rsidDel="00000000" w:rsidP="00000000" w:rsidRDefault="00000000" w:rsidRPr="00000000" w14:paraId="000000F3">
      <w:pPr>
        <w:tabs>
          <w:tab w:val="left" w:leader="none" w:pos="813"/>
          <w:tab w:val="left" w:leader="none" w:pos="814"/>
        </w:tabs>
        <w:rPr/>
      </w:pPr>
      <w:r w:rsidDel="00000000" w:rsidR="00000000" w:rsidRPr="00000000">
        <w:rPr>
          <w:rtl w:val="0"/>
        </w:rPr>
      </w:r>
    </w:p>
    <w:p w:rsidR="00000000" w:rsidDel="00000000" w:rsidP="00000000" w:rsidRDefault="00000000" w:rsidRPr="00000000" w14:paraId="000000F4">
      <w:pPr>
        <w:pStyle w:val="Title"/>
        <w:numPr>
          <w:ilvl w:val="0"/>
          <w:numId w:val="1"/>
        </w:numPr>
        <w:tabs>
          <w:tab w:val="left" w:leader="none" w:pos="813"/>
          <w:tab w:val="left" w:leader="none" w:pos="814"/>
        </w:tabs>
        <w:ind w:left="720" w:hanging="360"/>
        <w:rPr>
          <w:sz w:val="22"/>
          <w:szCs w:val="22"/>
        </w:rPr>
      </w:pPr>
      <w:bookmarkStart w:colFirst="0" w:colLast="0" w:name="_heading=h.2et92p0" w:id="5"/>
      <w:bookmarkEnd w:id="5"/>
      <w:r w:rsidDel="00000000" w:rsidR="00000000" w:rsidRPr="00000000">
        <w:rPr>
          <w:sz w:val="22"/>
          <w:szCs w:val="22"/>
          <w:rtl w:val="0"/>
        </w:rPr>
        <w:t xml:space="preserve">IMPORTO A BASE D’ASTA E VALORE COMPLESSIVO APPALTO</w:t>
      </w:r>
    </w:p>
    <w:p w:rsidR="00000000" w:rsidDel="00000000" w:rsidP="00000000" w:rsidRDefault="00000000" w:rsidRPr="00000000" w14:paraId="000000F5">
      <w:pPr>
        <w:pStyle w:val="Heading1"/>
        <w:spacing w:before="115" w:line="360" w:lineRule="auto"/>
        <w:ind w:left="393.00000000000006" w:right="130" w:firstLine="0"/>
        <w:jc w:val="both"/>
        <w:rPr/>
      </w:pPr>
      <w:bookmarkStart w:colFirst="0" w:colLast="0" w:name="_heading=h.mfvcy9mlad2w" w:id="6"/>
      <w:bookmarkEnd w:id="6"/>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360" w:lineRule="auto"/>
        <w:ind w:left="393" w:right="130" w:firstLine="0"/>
        <w:jc w:val="both"/>
        <w:rPr/>
      </w:pPr>
      <w:r w:rsidDel="00000000" w:rsidR="00000000" w:rsidRPr="00000000">
        <w:rPr>
          <w:rFonts w:ascii="Arial" w:cs="Arial" w:eastAsia="Arial" w:hAnsi="Arial"/>
          <w:rtl w:val="0"/>
        </w:rPr>
        <w:t xml:space="preserve">Il Gruppo Tecnico di Progettazione e il RUP</w:t>
      </w:r>
      <w:r w:rsidDel="00000000" w:rsidR="00000000" w:rsidRPr="00000000">
        <w:rPr>
          <w:rtl w:val="0"/>
        </w:rPr>
        <w:t xml:space="preserve">, con il supporto di un consulente esterno </w:t>
      </w:r>
      <w:r w:rsidDel="00000000" w:rsidR="00000000" w:rsidRPr="00000000">
        <w:rPr>
          <w:rFonts w:ascii="Arial" w:cs="Arial" w:eastAsia="Arial" w:hAnsi="Arial"/>
          <w:rtl w:val="0"/>
        </w:rPr>
        <w:t xml:space="preserve">ha effettuato un’analisi dei prezzi a livello nazionale</w:t>
      </w:r>
      <w:r w:rsidDel="00000000" w:rsidR="00000000" w:rsidRPr="00000000">
        <w:rPr>
          <w:rtl w:val="0"/>
        </w:rPr>
        <w:t xml:space="preserve">,</w:t>
      </w:r>
      <w:r w:rsidDel="00000000" w:rsidR="00000000" w:rsidRPr="00000000">
        <w:rPr>
          <w:rFonts w:ascii="Arial" w:cs="Arial" w:eastAsia="Arial" w:hAnsi="Arial"/>
          <w:rtl w:val="0"/>
        </w:rPr>
        <w:t xml:space="preserve"> al fine di individuare un importo unitario </w:t>
      </w:r>
      <w:r w:rsidDel="00000000" w:rsidR="00000000" w:rsidRPr="00000000">
        <w:rPr>
          <w:rtl w:val="0"/>
        </w:rPr>
        <w:t xml:space="preserve">coerente e sostenibile, tale da  conferire risparmi al SSR (ovvero contenimento della spesa pubblica) e allo stesso tempo fosse in grado di garantire la massima partecipazione del mercato di riferimento.</w:t>
      </w:r>
    </w:p>
    <w:p w:rsidR="00000000" w:rsidDel="00000000" w:rsidP="00000000" w:rsidRDefault="00000000" w:rsidRPr="00000000" w14:paraId="000000F7">
      <w:pPr>
        <w:spacing w:before="115" w:line="360" w:lineRule="auto"/>
        <w:ind w:left="425.19685039370086" w:right="130" w:firstLine="0"/>
        <w:jc w:val="both"/>
        <w:rPr/>
      </w:pPr>
      <w:r w:rsidDel="00000000" w:rsidR="00000000" w:rsidRPr="00000000">
        <w:rPr>
          <w:rtl w:val="0"/>
        </w:rPr>
        <w:t xml:space="preserve">Ai fini della determinazione degli importi posti a base di gara, è stata svolta un’analisi che ha tenuto in considerazione le più recenti gare espletate da altre stazioni appaltanti per i medesimi dispositivi per elettrofisiologia, esaminando anche i prezzi praticati dai fornitori attuali delle Aziende Sanitarie destinatarie della fornitura.</w:t>
      </w:r>
    </w:p>
    <w:p w:rsidR="00000000" w:rsidDel="00000000" w:rsidP="00000000" w:rsidRDefault="00000000" w:rsidRPr="00000000" w14:paraId="000000F8">
      <w:pPr>
        <w:spacing w:before="115" w:line="360" w:lineRule="auto"/>
        <w:ind w:left="425.19685039370086" w:right="130" w:firstLine="0"/>
        <w:jc w:val="both"/>
        <w:rPr/>
      </w:pPr>
      <w:r w:rsidDel="00000000" w:rsidR="00000000" w:rsidRPr="00000000">
        <w:rPr>
          <w:rtl w:val="0"/>
        </w:rPr>
        <w:t xml:space="preserve">In particolare la disamina condotta si è espressa attraverso le seguenti attività:</w:t>
      </w:r>
    </w:p>
    <w:p w:rsidR="00000000" w:rsidDel="00000000" w:rsidP="00000000" w:rsidRDefault="00000000" w:rsidRPr="00000000" w14:paraId="000000F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130" w:hanging="360"/>
        <w:jc w:val="both"/>
        <w:rPr/>
      </w:pPr>
      <w:r w:rsidDel="00000000" w:rsidR="00000000" w:rsidRPr="00000000">
        <w:rPr>
          <w:rtl w:val="0"/>
        </w:rPr>
        <w:t xml:space="preserve">consultazione preliminare di mercato pubblicata sullo strumento di eprocurement Net4market in data 06/06/2023 (attività svolta dal precedente RUP);</w:t>
      </w:r>
    </w:p>
    <w:p w:rsidR="00000000" w:rsidDel="00000000" w:rsidP="00000000" w:rsidRDefault="00000000" w:rsidRPr="00000000" w14:paraId="000000F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130" w:hanging="360"/>
        <w:jc w:val="both"/>
        <w:rPr/>
      </w:pPr>
      <w:r w:rsidDel="00000000" w:rsidR="00000000" w:rsidRPr="00000000">
        <w:rPr>
          <w:rtl w:val="0"/>
        </w:rPr>
        <w:t xml:space="preserve">analisi dei  prezzi di aggiudicazione di precedenti gare indette/aggiudicate da altre Stazioni Appaltanti a livello nazionale  per le medesime forniture;</w:t>
      </w:r>
    </w:p>
    <w:p w:rsidR="00000000" w:rsidDel="00000000" w:rsidP="00000000" w:rsidRDefault="00000000" w:rsidRPr="00000000" w14:paraId="000000FB">
      <w:pPr>
        <w:numPr>
          <w:ilvl w:val="0"/>
          <w:numId w:val="4"/>
        </w:numPr>
        <w:spacing w:line="360" w:lineRule="auto"/>
        <w:ind w:left="720" w:right="130" w:hanging="360"/>
        <w:jc w:val="both"/>
        <w:rPr/>
      </w:pPr>
      <w:r w:rsidDel="00000000" w:rsidR="00000000" w:rsidRPr="00000000">
        <w:rPr>
          <w:rtl w:val="0"/>
        </w:rPr>
        <w:t xml:space="preserve">analisi degli attuali prezzi di acquisto comunicati dalle Aziende destinatarie della fornitura;</w:t>
      </w:r>
    </w:p>
    <w:p w:rsidR="00000000" w:rsidDel="00000000" w:rsidP="00000000" w:rsidRDefault="00000000" w:rsidRPr="00000000" w14:paraId="000000FC">
      <w:pPr>
        <w:spacing w:before="115" w:line="360" w:lineRule="auto"/>
        <w:ind w:left="425.19685039370086" w:right="130" w:firstLine="0"/>
        <w:jc w:val="both"/>
        <w:rPr/>
      </w:pPr>
      <w:r w:rsidDel="00000000" w:rsidR="00000000" w:rsidRPr="00000000">
        <w:rPr>
          <w:rtl w:val="0"/>
        </w:rPr>
        <w:t xml:space="preserve">Il contributo del Gruppo di lavoro si è manifestato anche a livello di verifica di corrispondenza dei prodotti presi come campione per la determinazione dei prezzi con quelli oggetto dell’indicenda gara.</w:t>
      </w:r>
    </w:p>
    <w:p w:rsidR="00000000" w:rsidDel="00000000" w:rsidP="00000000" w:rsidRDefault="00000000" w:rsidRPr="00000000" w14:paraId="000000FD">
      <w:pPr>
        <w:spacing w:before="115" w:line="360" w:lineRule="auto"/>
        <w:ind w:left="425.19685039370086" w:right="130" w:firstLine="0"/>
        <w:jc w:val="both"/>
        <w:rPr>
          <w:highlight w:val="white"/>
        </w:rPr>
      </w:pPr>
      <w:r w:rsidDel="00000000" w:rsidR="00000000" w:rsidRPr="00000000">
        <w:rPr>
          <w:highlight w:val="white"/>
          <w:rtl w:val="0"/>
        </w:rPr>
        <w:t xml:space="preserve">L’attività di disamina e individuazione del benchmark è riassunta nel file richiamato al seguente link in cui sono evidenziati oltre ai prezzi presi a riferimento ai fini della determinazione della base d’asta anche i quantitativi annuali espressi da ciascuna azienda sanitaria quale ulteriore elemento di valutazione ai fini della corretta determinazione dei prezzi unitari:</w:t>
      </w:r>
    </w:p>
    <w:p w:rsidR="00000000" w:rsidDel="00000000" w:rsidP="00000000" w:rsidRDefault="00000000" w:rsidRPr="00000000" w14:paraId="000000FE">
      <w:pPr>
        <w:spacing w:before="115" w:line="360" w:lineRule="auto"/>
        <w:ind w:left="425.19685039370086" w:right="130" w:firstLine="0"/>
        <w:jc w:val="both"/>
        <w:rPr>
          <w:highlight w:val="white"/>
        </w:rPr>
      </w:pPr>
      <w:hyperlink r:id="rId7">
        <w:r w:rsidDel="00000000" w:rsidR="00000000" w:rsidRPr="00000000">
          <w:rPr>
            <w:color w:val="1155cc"/>
            <w:highlight w:val="white"/>
            <w:u w:val="single"/>
            <w:rtl w:val="0"/>
          </w:rPr>
          <w:t xml:space="preserve">Elenco lotti e valori complessivi di indizione</w:t>
        </w:r>
      </w:hyperlink>
      <w:r w:rsidDel="00000000" w:rsidR="00000000" w:rsidRPr="00000000">
        <w:rPr>
          <w:rtl w:val="0"/>
        </w:rPr>
      </w:r>
    </w:p>
    <w:p w:rsidR="00000000" w:rsidDel="00000000" w:rsidP="00000000" w:rsidRDefault="00000000" w:rsidRPr="00000000" w14:paraId="000000FF">
      <w:pPr>
        <w:spacing w:before="115" w:line="360" w:lineRule="auto"/>
        <w:ind w:left="425.19685039370086" w:right="128" w:firstLine="0"/>
        <w:jc w:val="both"/>
        <w:rPr/>
      </w:pPr>
      <w:r w:rsidDel="00000000" w:rsidR="00000000" w:rsidRPr="00000000">
        <w:rPr>
          <w:rtl w:val="0"/>
        </w:rPr>
        <w:t xml:space="preserve">Dall’analisi dei fabbisogni espresso dalle Aziende destinatarie della fornitura e in considerazione dei prezzi posti posti a base d’asta, è stato stimato il fabbisogno di ciascun Lotto per un totale complessivo regionale della gara  pari a  € 41.535.009,00 per la durata della fornitura pari a 48 mesi.</w:t>
      </w:r>
    </w:p>
    <w:p w:rsidR="00000000" w:rsidDel="00000000" w:rsidP="00000000" w:rsidRDefault="00000000" w:rsidRPr="00000000" w14:paraId="00000100">
      <w:pPr>
        <w:spacing w:before="115" w:line="360" w:lineRule="auto"/>
        <w:ind w:left="425.19685039370086" w:right="128" w:firstLine="0"/>
        <w:jc w:val="both"/>
        <w:rPr/>
      </w:pPr>
      <w:r w:rsidDel="00000000" w:rsidR="00000000" w:rsidRPr="00000000">
        <w:rPr>
          <w:rtl w:val="0"/>
        </w:rPr>
        <w:t xml:space="preserve">Il valore complessivo dell’eventuale opzione di un quinto dell’importo contrattuale, è pari a € 8.307.001,80 (IVA esclusa)mentre il valore globale stimato dell’intero appalto comprensivo dell’eventuale opzione di un quinto dell’importo contrattuale, è pari a € 49.842.010,80 (IVA esclusa).</w:t>
      </w:r>
    </w:p>
    <w:p w:rsidR="00000000" w:rsidDel="00000000" w:rsidP="00000000" w:rsidRDefault="00000000" w:rsidRPr="00000000" w14:paraId="00000101">
      <w:pPr>
        <w:spacing w:before="115" w:line="360" w:lineRule="auto"/>
        <w:ind w:left="425.19685039370086" w:right="128" w:firstLine="0"/>
        <w:jc w:val="both"/>
        <w:rPr/>
      </w:pPr>
      <w:r w:rsidDel="00000000" w:rsidR="00000000" w:rsidRPr="00000000">
        <w:rPr>
          <w:rtl w:val="0"/>
        </w:rPr>
        <w:t xml:space="preserve">L’importo annuale a base d’asta, per ogni singolo lotto, è riportato nell’allegato n. 9 “Tabella elenco lotti e valori”.</w:t>
      </w:r>
    </w:p>
    <w:p w:rsidR="00000000" w:rsidDel="00000000" w:rsidP="00000000" w:rsidRDefault="00000000" w:rsidRPr="00000000" w14:paraId="00000102">
      <w:pPr>
        <w:spacing w:before="115" w:line="360" w:lineRule="auto"/>
        <w:ind w:left="425.19685039370086" w:right="128" w:firstLine="0"/>
        <w:jc w:val="both"/>
        <w:rPr>
          <w:rFonts w:ascii="Arial" w:cs="Arial" w:eastAsia="Arial" w:hAnsi="Arial"/>
        </w:rPr>
      </w:pPr>
      <w:r w:rsidDel="00000000" w:rsidR="00000000" w:rsidRPr="00000000">
        <w:rPr>
          <w:rtl w:val="0"/>
        </w:rPr>
        <w:t xml:space="preserve">L’importo degli oneri per la sicurezza da interferenze è pari a € 0,00, Iva e/o altre imposte contributi di legge esclusi.</w:t>
      </w:r>
      <w:r w:rsidDel="00000000" w:rsidR="00000000" w:rsidRPr="00000000">
        <w:rPr>
          <w:rtl w:val="0"/>
        </w:rPr>
      </w:r>
    </w:p>
    <w:sectPr>
      <w:headerReference r:id="rId8" w:type="default"/>
      <w:headerReference r:id="rId9" w:type="first"/>
      <w:footerReference r:id="rId10" w:type="default"/>
      <w:footerReference r:id="rId11" w:type="first"/>
      <w:pgSz w:h="16840" w:w="11920" w:orient="portrait"/>
      <w:pgMar w:bottom="1000" w:top="1680" w:left="740" w:right="1020" w:header="642" w:footer="814"/>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6337300</wp:posOffset>
              </wp:positionH>
              <wp:positionV relativeFrom="paragraph">
                <wp:posOffset>9994900</wp:posOffset>
              </wp:positionV>
              <wp:extent cx="180975" cy="264159"/>
              <wp:effectExtent b="0" l="0" r="0" t="0"/>
              <wp:wrapNone/>
              <wp:docPr id="16" name=""/>
              <a:graphic>
                <a:graphicData uri="http://schemas.microsoft.com/office/word/2010/wordprocessingShape">
                  <wps:wsp>
                    <wps:cNvSpPr/>
                    <wps:cNvPr id="2" name="Shape 2"/>
                    <wps:spPr>
                      <a:xfrm>
                        <a:off x="5269800" y="3662208"/>
                        <a:ext cx="152400" cy="235584"/>
                      </a:xfrm>
                      <a:custGeom>
                        <a:rect b="b" l="l" r="r" t="t"/>
                        <a:pathLst>
                          <a:path extrusionOk="0" h="235584" w="152400">
                            <a:moveTo>
                              <a:pt x="0" y="0"/>
                            </a:moveTo>
                            <a:lnTo>
                              <a:pt x="0" y="235584"/>
                            </a:lnTo>
                            <a:lnTo>
                              <a:pt x="152400" y="235584"/>
                            </a:lnTo>
                            <a:lnTo>
                              <a:pt x="152400" y="0"/>
                            </a:lnTo>
                            <a:close/>
                          </a:path>
                        </a:pathLst>
                      </a:custGeom>
                      <a:solidFill>
                        <a:srgbClr val="FFFFFF"/>
                      </a:solidFill>
                      <a:ln>
                        <a:noFill/>
                      </a:ln>
                    </wps:spPr>
                    <wps:txbx>
                      <w:txbxContent>
                        <w:p w:rsidR="00000000" w:rsidDel="00000000" w:rsidP="00000000" w:rsidRDefault="00000000" w:rsidRPr="00000000">
                          <w:pPr>
                            <w:spacing w:after="0" w:before="46.99999809265137" w:line="240"/>
                            <w:ind w:left="60" w:right="0" w:firstLine="18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w:t>
                          </w:r>
                          <w:r w:rsidDel="00000000" w:rsidR="00000000" w:rsidRPr="00000000">
                            <w:rPr>
                              <w:rFonts w:ascii="Arial" w:cs="Arial" w:eastAsia="Arial" w:hAnsi="Arial"/>
                              <w:b w:val="0"/>
                              <w:i w:val="0"/>
                              <w:smallCaps w:val="0"/>
                              <w:strike w:val="0"/>
                              <w:color w:val="000000"/>
                              <w:sz w:val="22"/>
                              <w:vertAlign w:val="baseline"/>
                            </w:rPr>
                            <w:t xml:space="preserve">1</w:t>
                          </w:r>
                        </w:p>
                      </w:txbxContent>
                    </wps:txbx>
                    <wps:bodyPr anchorCtr="0" anchor="t" bIns="38100" lIns="88900" spcFirstLastPara="1" rIns="88900" wrap="square" tIns="3810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6337300</wp:posOffset>
              </wp:positionH>
              <wp:positionV relativeFrom="paragraph">
                <wp:posOffset>9994900</wp:posOffset>
              </wp:positionV>
              <wp:extent cx="180975" cy="264159"/>
              <wp:effectExtent b="0" l="0" r="0" t="0"/>
              <wp:wrapNone/>
              <wp:docPr id="1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0975" cy="264159"/>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spacing w:line="360" w:lineRule="auto"/>
      <w:ind w:left="1984.251968503937" w:right="-49.72440944881782" w:firstLine="0"/>
      <w:jc w:val="right"/>
      <w:rPr>
        <w:rFonts w:ascii="Arial" w:cs="Arial" w:eastAsia="Arial" w:hAnsi="Arial"/>
        <w:i w:val="1"/>
        <w:sz w:val="16"/>
        <w:szCs w:val="16"/>
      </w:rPr>
    </w:pPr>
    <w:r w:rsidDel="00000000" w:rsidR="00000000" w:rsidRPr="00000000">
      <w:rPr>
        <w:rFonts w:ascii="Arial" w:cs="Arial" w:eastAsia="Arial" w:hAnsi="Arial"/>
        <w:sz w:val="16"/>
        <w:szCs w:val="16"/>
        <w:rtl w:val="0"/>
      </w:rPr>
      <w:t xml:space="preserve">Quadro esigenziale e  progetto di fattibilità tecnico-economica</w:t>
      <w:br w:type="textWrapping"/>
      <w:t xml:space="preserve">(</w:t>
    </w:r>
    <w:r w:rsidDel="00000000" w:rsidR="00000000" w:rsidRPr="00000000">
      <w:rPr>
        <w:rFonts w:ascii="Arial" w:cs="Arial" w:eastAsia="Arial" w:hAnsi="Arial"/>
        <w:i w:val="1"/>
        <w:sz w:val="16"/>
        <w:szCs w:val="16"/>
        <w:rtl w:val="0"/>
      </w:rPr>
      <w:t xml:space="preserve">art.14 e art. 41 commi 12, 13 e 14 del d.lgs. n. 36/2023)</w:t>
    </w:r>
    <w:r w:rsidDel="00000000" w:rsidR="00000000" w:rsidRPr="00000000">
      <w:rPr>
        <w:rFonts w:ascii="Arial" w:cs="Arial" w:eastAsia="Arial" w:hAnsi="Arial"/>
        <w:b w:val="1"/>
        <w:i w:val="1"/>
      </w:rPr>
      <w:drawing>
        <wp:anchor allowOverlap="1" behindDoc="1" distB="0" distT="0" distL="0" distR="0" hidden="0" layoutInCell="1" locked="0" relativeHeight="0" simplePos="0">
          <wp:simplePos x="0" y="0"/>
          <wp:positionH relativeFrom="page">
            <wp:posOffset>469900</wp:posOffset>
          </wp:positionH>
          <wp:positionV relativeFrom="page">
            <wp:posOffset>341243</wp:posOffset>
          </wp:positionV>
          <wp:extent cx="2421739" cy="666899"/>
          <wp:effectExtent b="0" l="0" r="0" t="0"/>
          <wp:wrapNone/>
          <wp:docPr id="1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21739" cy="666899"/>
                  </a:xfrm>
                  <a:prstGeom prst="rect"/>
                  <a:ln/>
                </pic:spPr>
              </pic:pic>
            </a:graphicData>
          </a:graphic>
        </wp:anchor>
      </w:drawing>
    </w:r>
    <w:r w:rsidDel="00000000" w:rsidR="00000000" w:rsidRPr="00000000">
      <w:rPr>
        <w:rtl w:val="0"/>
      </w:rPr>
    </w:r>
  </w:p>
  <w:p w:rsidR="00000000" w:rsidDel="00000000" w:rsidP="00000000" w:rsidRDefault="00000000" w:rsidRPr="00000000" w14:paraId="00000104">
    <w:pPr>
      <w:jc w:val="right"/>
      <w:rPr>
        <w:rFonts w:ascii="Arial" w:cs="Arial" w:eastAsia="Arial" w:hAnsi="Arial"/>
        <w:i w:val="1"/>
      </w:rPr>
    </w:pPr>
    <w:r w:rsidDel="00000000" w:rsidR="00000000" w:rsidRPr="00000000">
      <w:rPr>
        <w:rtl w:val="0"/>
      </w:rPr>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rPr/>
    </w:pPr>
    <w:r w:rsidDel="00000000" w:rsidR="00000000" w:rsidRPr="00000000">
      <w:rPr/>
      <w:drawing>
        <wp:anchor allowOverlap="1" behindDoc="1" distB="0" distT="0" distL="0" distR="0" hidden="0" layoutInCell="1" locked="0" relativeHeight="0" simplePos="0">
          <wp:simplePos x="0" y="0"/>
          <wp:positionH relativeFrom="page">
            <wp:posOffset>469900</wp:posOffset>
          </wp:positionH>
          <wp:positionV relativeFrom="page">
            <wp:posOffset>255270</wp:posOffset>
          </wp:positionV>
          <wp:extent cx="2421739" cy="666899"/>
          <wp:effectExtent b="0" l="0" r="0" t="0"/>
          <wp:wrapNone/>
          <wp:docPr id="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21739" cy="66689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08.6614173228347" w:hanging="283.464566929134"/>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I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814" w:hanging="421"/>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814" w:hanging="421"/>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814" w:hanging="421"/>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Arial MT" w:cs="Arial MT" w:eastAsia="Arial MT" w:hAnsi="Arial MT"/>
      <w:lang w:bidi="ar-SA" w:eastAsia="en-US" w:val="it-IT"/>
    </w:rPr>
  </w:style>
  <w:style w:type="paragraph" w:styleId="TOC1">
    <w:name w:val="TOC 1"/>
    <w:basedOn w:val="Normal"/>
    <w:uiPriority w:val="1"/>
    <w:qFormat w:val="1"/>
    <w:pPr>
      <w:spacing w:before="60"/>
      <w:ind w:left="560" w:hanging="296"/>
    </w:pPr>
    <w:rPr>
      <w:rFonts w:ascii="Arial" w:cs="Arial" w:eastAsia="Arial" w:hAnsi="Arial"/>
      <w:b w:val="1"/>
      <w:bCs w:val="1"/>
      <w:sz w:val="20"/>
      <w:szCs w:val="20"/>
      <w:lang w:bidi="ar-SA" w:eastAsia="en-US" w:val="it-IT"/>
    </w:rPr>
  </w:style>
  <w:style w:type="paragraph" w:styleId="TOC2">
    <w:name w:val="TOC 2"/>
    <w:basedOn w:val="Normal"/>
    <w:uiPriority w:val="1"/>
    <w:qFormat w:val="1"/>
    <w:pPr>
      <w:spacing w:before="60"/>
      <w:ind w:left="560" w:hanging="168"/>
    </w:pPr>
    <w:rPr>
      <w:rFonts w:ascii="Arial" w:cs="Arial" w:eastAsia="Arial" w:hAnsi="Arial"/>
      <w:b w:val="1"/>
      <w:bCs w:val="1"/>
      <w:sz w:val="20"/>
      <w:szCs w:val="20"/>
      <w:lang w:bidi="ar-SA" w:eastAsia="en-US" w:val="it-IT"/>
    </w:rPr>
  </w:style>
  <w:style w:type="paragraph" w:styleId="BodyText">
    <w:name w:val="Body Text"/>
    <w:basedOn w:val="Normal"/>
    <w:uiPriority w:val="1"/>
    <w:qFormat w:val="1"/>
    <w:pPr/>
    <w:rPr>
      <w:rFonts w:ascii="Arial MT" w:cs="Arial MT" w:eastAsia="Arial MT" w:hAnsi="Arial MT"/>
      <w:sz w:val="20"/>
      <w:szCs w:val="20"/>
      <w:lang w:bidi="ar-SA" w:eastAsia="en-US" w:val="it-IT"/>
    </w:rPr>
  </w:style>
  <w:style w:type="paragraph" w:styleId="Heading1">
    <w:name w:val="Heading 1"/>
    <w:basedOn w:val="Normal"/>
    <w:uiPriority w:val="1"/>
    <w:qFormat w:val="1"/>
    <w:pPr>
      <w:ind w:left="814" w:hanging="421"/>
      <w:outlineLvl w:val="1"/>
    </w:pPr>
    <w:rPr>
      <w:rFonts w:ascii="Arial" w:cs="Arial" w:eastAsia="Arial" w:hAnsi="Arial"/>
      <w:b w:val="1"/>
      <w:bCs w:val="1"/>
      <w:sz w:val="20"/>
      <w:szCs w:val="20"/>
      <w:lang w:bidi="ar-SA" w:eastAsia="en-US" w:val="it-IT"/>
    </w:rPr>
  </w:style>
  <w:style w:type="paragraph" w:styleId="ListParagraph">
    <w:name w:val="List Paragraph"/>
    <w:basedOn w:val="Normal"/>
    <w:uiPriority w:val="1"/>
    <w:qFormat w:val="1"/>
    <w:pPr>
      <w:ind w:left="560" w:hanging="421"/>
    </w:pPr>
    <w:rPr>
      <w:rFonts w:ascii="Arial" w:cs="Arial" w:eastAsia="Arial" w:hAnsi="Arial"/>
      <w:lang w:bidi="ar-SA" w:eastAsia="en-US" w:val="it-IT"/>
    </w:rPr>
  </w:style>
  <w:style w:type="paragraph" w:styleId="TableParagraph">
    <w:name w:val="Table Paragraph"/>
    <w:basedOn w:val="Normal"/>
    <w:uiPriority w:val="1"/>
    <w:qFormat w:val="1"/>
    <w:pPr>
      <w:jc w:val="center"/>
    </w:pPr>
    <w:rPr>
      <w:rFonts w:ascii="Arial MT" w:cs="Arial MT" w:eastAsia="Arial MT" w:hAnsi="Arial MT"/>
      <w:lang w:bidi="ar-SA" w:eastAsia="en-US"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spreadsheets/d/1U0aezqD0_ewkKtcj4nLO8v0Ka87lZumK/edit?gid=167985886#gid=167985886"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CzBpBZY8yueHSfARyi9eureJQ==">CgMxLjAyCGguZ2pkZ3hzMgloLjMwajB6bGwyDmguaW9sM2ZtbzRmZmFvMg5oLnVzd25xbnN2eXJvdjIJaC4zem55c2g3MgloLjJldDkycDAyDmgubWZ2Y3k5bWxhZDJ3OAByITFHVllaanpMSDVQWC1xSHhYdGhNTGFOOUFOemROVlgyQQ==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2024-01-31T12:06:42Z</dcterms:created>
</cp:coreProperties>
</file>