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600" w:lineRule="auto"/>
        <w:ind w:right="1414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OGGETTO: PROCEDURA APERTA, AI SENSI DELL’ART. 71 DEL D. LGS 36/2023, IN FORMA CENTRALIZZATA, SUDDIVISA IN 59 LOTTI, FINALIZZATA ALLA STIPULA DI CONVENZIONI PER L’AFFIDAMENTO DELLA FORNITURA DI “CND Q02 - DISPOSITIVI PER OFTALMOLOGIA”, OCCORRENTI ALLE AZIENDE SANITARIE DELLA REGIONE UMBRIA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bCs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 Finalità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before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bookmarkStart w:colFirst="0" w:colLast="0" w:name="_heading=h.ik696ymrvgbm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 essere edotto degli obblighi derivanti dal Codice di comportamento adottato dalla stazione appaltante reperibile nel sito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https://puntozeroscarl.it/trasparenza/societa-trasparente/disposizioni-generali/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e si impegna ad osservare e a far osservare ai propri dipendenti e collaboratori, per quanto applicabile, il suddetto codice, pena la risoluzione del contratto</w:t>
      </w:r>
    </w:p>
    <w:p w:rsidR="00000000" w:rsidDel="00000000" w:rsidP="00000000" w:rsidRDefault="00000000" w:rsidRPr="00000000" w14:paraId="00000016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3. Obblighi di PuntoZero </w:t>
      </w:r>
    </w:p>
    <w:p w:rsidR="00000000" w:rsidDel="00000000" w:rsidP="00000000" w:rsidRDefault="00000000" w:rsidRPr="00000000" w14:paraId="00000018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B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C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D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1F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0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21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-876295</wp:posOffset>
          </wp:positionH>
          <wp:positionV relativeFrom="paragraph">
            <wp:posOffset>-485770</wp:posOffset>
          </wp:positionV>
          <wp:extent cx="7553325" cy="1143000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-619121</wp:posOffset>
          </wp:positionH>
          <wp:positionV relativeFrom="paragraph">
            <wp:posOffset>-504820</wp:posOffset>
          </wp:positionV>
          <wp:extent cx="7553325" cy="114300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-720083</wp:posOffset>
          </wp:positionH>
          <wp:positionV relativeFrom="paragraph">
            <wp:posOffset>-447667</wp:posOffset>
          </wp:positionV>
          <wp:extent cx="7541895" cy="1162685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-718179</wp:posOffset>
          </wp:positionH>
          <wp:positionV relativeFrom="paragraph">
            <wp:posOffset>-447667</wp:posOffset>
          </wp:positionV>
          <wp:extent cx="7543800" cy="116205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ntozeroscarl.it/trasparenza/societa-trasparente/disposizioni-generali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fBtOpdRoZ8BcI1mAgG4yoE8FQQ==">CgMxLjAyDmguaWs2OTZ5bXJ2Z2JtOAByITEwTGpjWURhak9yaUg3Nk9hbjAzNk80dW1DLURxSk9tdg==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